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26901" w14:textId="77777777" w:rsidR="0058222E" w:rsidRPr="006F6287" w:rsidRDefault="0058222E" w:rsidP="007C702A">
      <w:pPr>
        <w:rPr>
          <w:rFonts w:ascii="Verdana" w:hAnsi="Verdana" w:cs="Arial"/>
          <w:lang w:val="es-ES_tradnl" w:eastAsia="es-CO"/>
        </w:rPr>
      </w:pPr>
    </w:p>
    <w:p w14:paraId="0822FEEB" w14:textId="0F4F86B7" w:rsidR="00D70D7B" w:rsidRPr="006F6287" w:rsidRDefault="00D70D7B" w:rsidP="007C702A">
      <w:pPr>
        <w:rPr>
          <w:rFonts w:ascii="Verdana" w:hAnsi="Verdana" w:cs="Arial"/>
          <w:lang w:val="es-ES" w:eastAsia="es-CO"/>
        </w:rPr>
      </w:pPr>
      <w:r w:rsidRPr="006F6287">
        <w:rPr>
          <w:rFonts w:ascii="Verdana" w:hAnsi="Verdana" w:cs="Arial"/>
          <w:lang w:val="es-ES" w:eastAsia="es-CO"/>
        </w:rPr>
        <w:t xml:space="preserve">Para el presente </w:t>
      </w:r>
      <w:r w:rsidR="006B01B2" w:rsidRPr="006F6287">
        <w:rPr>
          <w:rFonts w:ascii="Verdana" w:hAnsi="Verdana" w:cs="Arial"/>
          <w:lang w:val="es-ES" w:eastAsia="es-CO"/>
        </w:rPr>
        <w:t>P</w:t>
      </w:r>
      <w:r w:rsidR="00C61BDB" w:rsidRPr="006F6287">
        <w:rPr>
          <w:rFonts w:ascii="Verdana" w:hAnsi="Verdana" w:cs="Arial"/>
          <w:lang w:val="es-ES" w:eastAsia="es-CO"/>
        </w:rPr>
        <w:t>roce</w:t>
      </w:r>
      <w:r w:rsidR="32C12A3F" w:rsidRPr="006F6287">
        <w:rPr>
          <w:rFonts w:ascii="Verdana" w:hAnsi="Verdana" w:cs="Arial"/>
          <w:lang w:val="es-ES" w:eastAsia="es-CO"/>
        </w:rPr>
        <w:t>so</w:t>
      </w:r>
      <w:r w:rsidR="008F49F3" w:rsidRPr="006F6287">
        <w:rPr>
          <w:rFonts w:ascii="Verdana" w:hAnsi="Verdana" w:cs="Arial"/>
          <w:lang w:val="es-ES" w:eastAsia="es-CO"/>
        </w:rPr>
        <w:t xml:space="preserve"> </w:t>
      </w:r>
      <w:r w:rsidR="00046B56" w:rsidRPr="006F6287">
        <w:rPr>
          <w:rFonts w:ascii="Verdana" w:hAnsi="Verdana" w:cs="Arial"/>
          <w:lang w:val="es-ES" w:eastAsia="es-CO"/>
        </w:rPr>
        <w:t xml:space="preserve">de </w:t>
      </w:r>
      <w:r w:rsidR="006B01B2" w:rsidRPr="006F6287">
        <w:rPr>
          <w:rFonts w:ascii="Verdana" w:hAnsi="Verdana" w:cs="Arial"/>
          <w:lang w:val="es-ES" w:eastAsia="es-CO"/>
        </w:rPr>
        <w:t>C</w:t>
      </w:r>
      <w:r w:rsidRPr="006F6287">
        <w:rPr>
          <w:rFonts w:ascii="Verdana" w:hAnsi="Verdana" w:cs="Arial"/>
          <w:lang w:val="es-ES" w:eastAsia="es-CO"/>
        </w:rPr>
        <w:t>ontra</w:t>
      </w:r>
      <w:r w:rsidR="00046B56" w:rsidRPr="006F6287">
        <w:rPr>
          <w:rFonts w:ascii="Verdana" w:hAnsi="Verdana" w:cs="Arial"/>
          <w:lang w:val="es-ES" w:eastAsia="es-CO"/>
        </w:rPr>
        <w:t>tación</w:t>
      </w:r>
      <w:r w:rsidRPr="006F6287">
        <w:rPr>
          <w:rFonts w:ascii="Verdana" w:hAnsi="Verdana" w:cs="Arial"/>
          <w:lang w:val="es-ES" w:eastAsia="es-CO"/>
        </w:rPr>
        <w:t xml:space="preserve">, en atención </w:t>
      </w:r>
      <w:r w:rsidR="00B81B1F" w:rsidRPr="006F6287">
        <w:rPr>
          <w:rFonts w:ascii="Verdana" w:hAnsi="Verdana" w:cs="Arial"/>
          <w:lang w:val="es-ES" w:eastAsia="es-CO"/>
        </w:rPr>
        <w:t>a la</w:t>
      </w:r>
      <w:r w:rsidRPr="006F6287">
        <w:rPr>
          <w:rFonts w:ascii="Verdana" w:hAnsi="Verdana" w:cs="Arial"/>
          <w:lang w:val="es-ES" w:eastAsia="es-CO"/>
        </w:rPr>
        <w:t xml:space="preserve"> Ley 1150 de 2007 y </w:t>
      </w:r>
      <w:r w:rsidR="006B01B2" w:rsidRPr="006F6287">
        <w:rPr>
          <w:rFonts w:ascii="Verdana" w:hAnsi="Verdana" w:cs="Arial"/>
          <w:lang w:val="es-ES" w:eastAsia="es-CO"/>
        </w:rPr>
        <w:t xml:space="preserve">a </w:t>
      </w:r>
      <w:r w:rsidRPr="006F6287">
        <w:rPr>
          <w:rFonts w:ascii="Verdana" w:hAnsi="Verdana" w:cs="Arial"/>
          <w:lang w:val="es-ES" w:eastAsia="es-CO"/>
        </w:rPr>
        <w:t>los artículos 2.2.1.1.1.3.1 y 2.2.1.1.1.6.</w:t>
      </w:r>
      <w:r w:rsidR="00B81B1F" w:rsidRPr="006F6287">
        <w:rPr>
          <w:rFonts w:ascii="Verdana" w:hAnsi="Verdana" w:cs="Arial"/>
          <w:lang w:val="es-ES" w:eastAsia="es-CO"/>
        </w:rPr>
        <w:t>3. del</w:t>
      </w:r>
      <w:r w:rsidRPr="006F6287">
        <w:rPr>
          <w:rFonts w:ascii="Verdana" w:hAnsi="Verdana" w:cs="Arial"/>
          <w:lang w:val="es-ES" w:eastAsia="es-CO"/>
        </w:rPr>
        <w:t xml:space="preserve"> Decreto </w:t>
      </w:r>
      <w:r w:rsidR="00B81B1F" w:rsidRPr="006F6287">
        <w:rPr>
          <w:rFonts w:ascii="Verdana" w:hAnsi="Verdana" w:cs="Arial"/>
          <w:lang w:val="es-ES" w:eastAsia="es-CO"/>
        </w:rPr>
        <w:t>1082 de</w:t>
      </w:r>
      <w:r w:rsidR="006E6D9B" w:rsidRPr="006F6287">
        <w:rPr>
          <w:rFonts w:ascii="Verdana" w:hAnsi="Verdana" w:cs="Arial"/>
          <w:lang w:val="es-ES" w:eastAsia="es-CO"/>
        </w:rPr>
        <w:t xml:space="preserve"> 2015, entiéndase por R</w:t>
      </w:r>
      <w:r w:rsidRPr="006F6287">
        <w:rPr>
          <w:rFonts w:ascii="Verdana" w:hAnsi="Verdana" w:cs="Arial"/>
          <w:lang w:val="es-ES" w:eastAsia="es-CO"/>
        </w:rPr>
        <w:t>iesgo</w:t>
      </w:r>
      <w:r w:rsidR="006E6D9B" w:rsidRPr="006F6287">
        <w:rPr>
          <w:rFonts w:ascii="Verdana" w:hAnsi="Verdana" w:cs="Arial"/>
          <w:lang w:val="es-ES" w:eastAsia="es-CO"/>
        </w:rPr>
        <w:t xml:space="preserve"> </w:t>
      </w:r>
      <w:r w:rsidRPr="006F6287">
        <w:rPr>
          <w:rFonts w:ascii="Verdana" w:hAnsi="Verdana" w:cs="Arial"/>
          <w:lang w:val="es-ES" w:eastAsia="es-CO"/>
        </w:rPr>
        <w:t xml:space="preserve">la probabilidad de ocurrencia de eventos aleatorios que afecten el desarrollo </w:t>
      </w:r>
      <w:r w:rsidR="00CB6E87" w:rsidRPr="006F6287">
        <w:rPr>
          <w:rFonts w:ascii="Verdana" w:hAnsi="Verdana" w:cs="Arial"/>
          <w:lang w:val="es-ES" w:eastAsia="es-CO"/>
        </w:rPr>
        <w:t>de este</w:t>
      </w:r>
      <w:r w:rsidRPr="006F6287">
        <w:rPr>
          <w:rFonts w:ascii="Verdana" w:hAnsi="Verdana" w:cs="Arial"/>
          <w:lang w:val="es-ES" w:eastAsia="es-CO"/>
        </w:rPr>
        <w:t xml:space="preserve">, generando una variación sobre el resultado esperado, tanto en relación con los costos </w:t>
      </w:r>
      <w:r w:rsidR="00B81B1F" w:rsidRPr="006F6287">
        <w:rPr>
          <w:rFonts w:ascii="Verdana" w:hAnsi="Verdana" w:cs="Arial"/>
          <w:lang w:val="es-ES" w:eastAsia="es-CO"/>
        </w:rPr>
        <w:t>como con</w:t>
      </w:r>
      <w:r w:rsidRPr="006F6287">
        <w:rPr>
          <w:rFonts w:ascii="Verdana" w:hAnsi="Verdana" w:cs="Arial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6F6287" w:rsidRDefault="00B81B1F" w:rsidP="007C702A">
      <w:pPr>
        <w:rPr>
          <w:rFonts w:ascii="Verdana" w:hAnsi="Verdana" w:cs="Arial"/>
          <w:lang w:val="es-ES_tradnl" w:eastAsia="es-CO"/>
        </w:rPr>
      </w:pPr>
    </w:p>
    <w:p w14:paraId="5322C892" w14:textId="237D9903" w:rsidR="00D70D7B" w:rsidRPr="006F6287" w:rsidRDefault="00D70D7B" w:rsidP="007C702A">
      <w:pPr>
        <w:rPr>
          <w:rFonts w:ascii="Verdana" w:hAnsi="Verdana" w:cs="Arial"/>
          <w:lang w:val="es-ES_tradnl" w:eastAsia="es-CO"/>
        </w:rPr>
      </w:pPr>
      <w:r w:rsidRPr="006F6287">
        <w:rPr>
          <w:rFonts w:ascii="Verdana" w:hAnsi="Verdana" w:cs="Arial"/>
          <w:lang w:val="es-ES_tradnl" w:eastAsia="es-CO"/>
        </w:rPr>
        <w:t xml:space="preserve">Corresponderá al </w:t>
      </w:r>
      <w:r w:rsidR="00112670" w:rsidRPr="006F6287">
        <w:rPr>
          <w:rFonts w:ascii="Verdana" w:hAnsi="Verdana" w:cs="Arial"/>
          <w:lang w:val="es-ES_tradnl" w:eastAsia="es-CO"/>
        </w:rPr>
        <w:t>C</w:t>
      </w:r>
      <w:r w:rsidRPr="006F6287">
        <w:rPr>
          <w:rFonts w:ascii="Verdana" w:hAnsi="Verdana" w:cs="Arial"/>
          <w:lang w:val="es-ES_tradnl" w:eastAsia="es-CO"/>
        </w:rPr>
        <w:t xml:space="preserve">ontratista seleccionado </w:t>
      </w:r>
      <w:r w:rsidR="00CB6E87" w:rsidRPr="006F6287">
        <w:rPr>
          <w:rFonts w:ascii="Verdana" w:hAnsi="Verdana" w:cs="Arial"/>
          <w:lang w:val="es-ES_tradnl" w:eastAsia="es-CO"/>
        </w:rPr>
        <w:t>asumir los</w:t>
      </w:r>
      <w:r w:rsidR="006E6D9B" w:rsidRPr="006F6287">
        <w:rPr>
          <w:rFonts w:ascii="Verdana" w:hAnsi="Verdana" w:cs="Arial"/>
          <w:lang w:val="es-ES_tradnl" w:eastAsia="es-CO"/>
        </w:rPr>
        <w:t xml:space="preserve"> </w:t>
      </w:r>
      <w:r w:rsidR="00D5252D" w:rsidRPr="006F6287">
        <w:rPr>
          <w:rFonts w:ascii="Verdana" w:hAnsi="Verdana" w:cs="Arial"/>
          <w:lang w:val="es-ES_tradnl" w:eastAsia="es-CO"/>
        </w:rPr>
        <w:t>R</w:t>
      </w:r>
      <w:r w:rsidRPr="006F6287">
        <w:rPr>
          <w:rFonts w:ascii="Verdana" w:hAnsi="Verdana" w:cs="Arial"/>
          <w:lang w:val="es-ES_tradnl" w:eastAsia="es-CO"/>
        </w:rPr>
        <w:t>iesgo</w:t>
      </w:r>
      <w:r w:rsidR="00CB6E87" w:rsidRPr="006F6287">
        <w:rPr>
          <w:rFonts w:ascii="Verdana" w:hAnsi="Verdana" w:cs="Arial"/>
          <w:lang w:val="es-ES_tradnl" w:eastAsia="es-CO"/>
        </w:rPr>
        <w:t>s</w:t>
      </w:r>
      <w:r w:rsidRPr="006F6287">
        <w:rPr>
          <w:rFonts w:ascii="Verdana" w:hAnsi="Verdana" w:cs="Arial"/>
          <w:lang w:val="es-ES_tradnl" w:eastAsia="es-CO"/>
        </w:rPr>
        <w:t xml:space="preserve"> previsible</w:t>
      </w:r>
      <w:r w:rsidR="00CB6E87" w:rsidRPr="006F6287">
        <w:rPr>
          <w:rFonts w:ascii="Verdana" w:hAnsi="Verdana" w:cs="Arial"/>
          <w:lang w:val="es-ES_tradnl" w:eastAsia="es-CO"/>
        </w:rPr>
        <w:t>s</w:t>
      </w:r>
      <w:r w:rsidRPr="006F6287">
        <w:rPr>
          <w:rFonts w:ascii="Verdana" w:hAnsi="Verdana" w:cs="Arial"/>
          <w:lang w:val="es-ES_tradnl" w:eastAsia="es-CO"/>
        </w:rPr>
        <w:t xml:space="preserve"> propio</w:t>
      </w:r>
      <w:r w:rsidR="00CB6E87" w:rsidRPr="006F6287">
        <w:rPr>
          <w:rFonts w:ascii="Verdana" w:hAnsi="Verdana" w:cs="Arial"/>
          <w:lang w:val="es-ES_tradnl" w:eastAsia="es-CO"/>
        </w:rPr>
        <w:t>s</w:t>
      </w:r>
      <w:r w:rsidRPr="006F6287">
        <w:rPr>
          <w:rFonts w:ascii="Verdana" w:hAnsi="Verdana" w:cs="Arial"/>
          <w:lang w:val="es-ES_tradnl" w:eastAsia="es-CO"/>
        </w:rPr>
        <w:t xml:space="preserve"> de este tipo de contratación </w:t>
      </w:r>
      <w:r w:rsidR="00CB6E87" w:rsidRPr="006F6287">
        <w:rPr>
          <w:rFonts w:ascii="Verdana" w:hAnsi="Verdana" w:cs="Arial"/>
          <w:lang w:val="es-ES_tradnl" w:eastAsia="es-CO"/>
        </w:rPr>
        <w:t xml:space="preserve">con sus </w:t>
      </w:r>
      <w:r w:rsidRPr="006F6287">
        <w:rPr>
          <w:rFonts w:ascii="Verdana" w:hAnsi="Verdana" w:cs="Arial"/>
          <w:lang w:val="es-ES_tradnl" w:eastAsia="es-CO"/>
        </w:rPr>
        <w:t>costo</w:t>
      </w:r>
      <w:r w:rsidR="00CB6E87" w:rsidRPr="006F6287">
        <w:rPr>
          <w:rFonts w:ascii="Verdana" w:hAnsi="Verdana" w:cs="Arial"/>
          <w:lang w:val="es-ES_tradnl" w:eastAsia="es-CO"/>
        </w:rPr>
        <w:t>s</w:t>
      </w:r>
      <w:r w:rsidRPr="006F6287">
        <w:rPr>
          <w:rFonts w:ascii="Verdana" w:hAnsi="Verdana" w:cs="Arial"/>
          <w:lang w:val="es-ES_tradnl" w:eastAsia="es-CO"/>
        </w:rPr>
        <w:t xml:space="preserve">, siempre que el mismo no se encuentre expresamente a cargo de la </w:t>
      </w:r>
      <w:r w:rsidR="006B01B2" w:rsidRPr="006F6287">
        <w:rPr>
          <w:rFonts w:ascii="Verdana" w:hAnsi="Verdana" w:cs="Arial"/>
          <w:lang w:val="es-ES_tradnl" w:eastAsia="es-CO"/>
        </w:rPr>
        <w:t>E</w:t>
      </w:r>
      <w:r w:rsidRPr="006F6287">
        <w:rPr>
          <w:rFonts w:ascii="Verdana" w:hAnsi="Verdana" w:cs="Arial"/>
          <w:lang w:val="es-ES_tradnl" w:eastAsia="es-CO"/>
        </w:rPr>
        <w:t xml:space="preserve">ntidad. </w:t>
      </w:r>
    </w:p>
    <w:p w14:paraId="78757E00" w14:textId="77777777" w:rsidR="00B81B1F" w:rsidRPr="006F6287" w:rsidRDefault="00B81B1F" w:rsidP="007C702A">
      <w:pPr>
        <w:rPr>
          <w:rFonts w:ascii="Verdana" w:hAnsi="Verdana" w:cs="Arial"/>
          <w:lang w:val="es-ES_tradnl" w:eastAsia="es-CO"/>
        </w:rPr>
      </w:pPr>
    </w:p>
    <w:p w14:paraId="2E7008F5" w14:textId="16335FC2" w:rsidR="00545461" w:rsidRPr="006F6287" w:rsidRDefault="006E6D9B" w:rsidP="007C702A">
      <w:pPr>
        <w:rPr>
          <w:rFonts w:ascii="Verdana" w:hAnsi="Verdana" w:cs="Arial"/>
          <w:lang w:val="es-ES_tradnl" w:eastAsia="es-CO"/>
        </w:rPr>
      </w:pPr>
      <w:r w:rsidRPr="006F6287">
        <w:rPr>
          <w:rFonts w:ascii="Verdana" w:hAnsi="Verdana" w:cs="Arial"/>
          <w:lang w:val="es-ES_tradnl" w:eastAsia="es-CO"/>
        </w:rPr>
        <w:t xml:space="preserve">De acuerdo con </w:t>
      </w:r>
      <w:r w:rsidR="006B01B2" w:rsidRPr="006F6287">
        <w:rPr>
          <w:rFonts w:ascii="Verdana" w:hAnsi="Verdana" w:cs="Arial"/>
          <w:lang w:val="es-ES_tradnl" w:eastAsia="es-CO"/>
        </w:rPr>
        <w:t xml:space="preserve">el </w:t>
      </w:r>
      <w:r w:rsidR="00C61BDB" w:rsidRPr="006F6287">
        <w:rPr>
          <w:rFonts w:ascii="Verdana" w:hAnsi="Verdana" w:cs="Arial"/>
          <w:lang w:val="es-ES_tradnl" w:eastAsia="es-CO"/>
        </w:rPr>
        <w:t>proce</w:t>
      </w:r>
      <w:r w:rsidR="00190D93" w:rsidRPr="006F6287">
        <w:rPr>
          <w:rFonts w:ascii="Verdana" w:hAnsi="Verdana" w:cs="Arial"/>
          <w:lang w:val="es-ES_tradnl" w:eastAsia="es-CO"/>
        </w:rPr>
        <w:t xml:space="preserve">so </w:t>
      </w:r>
      <w:r w:rsidR="00545461" w:rsidRPr="006F6287">
        <w:rPr>
          <w:rFonts w:ascii="Verdana" w:hAnsi="Verdana" w:cs="Arial"/>
          <w:lang w:val="es-ES_tradnl" w:eastAsia="es-CO"/>
        </w:rPr>
        <w:t xml:space="preserve">de la referencia, </w:t>
      </w:r>
      <w:r w:rsidR="00FE0128" w:rsidRPr="006F6287">
        <w:rPr>
          <w:rFonts w:ascii="Verdana" w:hAnsi="Verdana" w:cs="Arial"/>
          <w:lang w:val="es-ES_tradnl" w:eastAsia="es-CO"/>
        </w:rPr>
        <w:t xml:space="preserve">se </w:t>
      </w:r>
      <w:r w:rsidR="00545461" w:rsidRPr="006F6287">
        <w:rPr>
          <w:rFonts w:ascii="Verdana" w:hAnsi="Verdana" w:cs="Arial"/>
          <w:lang w:val="es-ES_tradnl" w:eastAsia="es-CO"/>
        </w:rPr>
        <w:t xml:space="preserve">establece la tipificación, estimación y asignación de los </w:t>
      </w:r>
      <w:r w:rsidR="00CB6E87" w:rsidRPr="006F6287">
        <w:rPr>
          <w:rFonts w:ascii="Verdana" w:hAnsi="Verdana" w:cs="Arial"/>
          <w:lang w:val="es-ES_tradnl" w:eastAsia="es-CO"/>
        </w:rPr>
        <w:t>R</w:t>
      </w:r>
      <w:r w:rsidR="00545461" w:rsidRPr="006F6287">
        <w:rPr>
          <w:rFonts w:ascii="Verdana" w:hAnsi="Verdana" w:cs="Arial"/>
          <w:lang w:val="es-ES_tradnl" w:eastAsia="es-CO"/>
        </w:rPr>
        <w:t xml:space="preserve">iesgos previsibles que puedan afectar el </w:t>
      </w:r>
      <w:r w:rsidR="006B01B2" w:rsidRPr="006F6287">
        <w:rPr>
          <w:rFonts w:ascii="Verdana" w:hAnsi="Verdana" w:cs="Arial"/>
          <w:lang w:val="es-ES_tradnl" w:eastAsia="es-CO"/>
        </w:rPr>
        <w:t>P</w:t>
      </w:r>
      <w:r w:rsidR="00C61BDB" w:rsidRPr="006F6287">
        <w:rPr>
          <w:rFonts w:ascii="Verdana" w:hAnsi="Verdana" w:cs="Arial"/>
          <w:lang w:val="es-ES_tradnl" w:eastAsia="es-CO"/>
        </w:rPr>
        <w:t>roce</w:t>
      </w:r>
      <w:r w:rsidR="00190D93" w:rsidRPr="006F6287">
        <w:rPr>
          <w:rFonts w:ascii="Verdana" w:hAnsi="Verdana" w:cs="Arial"/>
          <w:lang w:val="es-ES_tradnl" w:eastAsia="es-CO"/>
        </w:rPr>
        <w:t>so</w:t>
      </w:r>
      <w:r w:rsidR="006B01B2" w:rsidRPr="006F6287">
        <w:rPr>
          <w:rFonts w:ascii="Verdana" w:hAnsi="Verdana" w:cs="Arial"/>
          <w:lang w:val="es-ES_tradnl" w:eastAsia="es-CO"/>
        </w:rPr>
        <w:t xml:space="preserve"> de Contratación</w:t>
      </w:r>
      <w:r w:rsidR="00545461" w:rsidRPr="006F6287">
        <w:rPr>
          <w:rFonts w:ascii="Verdana" w:hAnsi="Verdana" w:cs="Arial"/>
          <w:lang w:val="es-ES_tradnl" w:eastAsia="es-CO"/>
        </w:rPr>
        <w:t>.</w:t>
      </w:r>
    </w:p>
    <w:p w14:paraId="6A09BF47" w14:textId="77777777" w:rsidR="009C4E02" w:rsidRPr="006F6287" w:rsidRDefault="009C4E02" w:rsidP="009C4E02">
      <w:pPr>
        <w:rPr>
          <w:rFonts w:ascii="Verdana" w:hAnsi="Verdana" w:cs="Arial"/>
          <w:lang w:val="es-ES_tradnl" w:eastAsia="es-CO"/>
        </w:rPr>
      </w:pPr>
    </w:p>
    <w:p w14:paraId="12FBE521" w14:textId="77777777" w:rsidR="009C4E02" w:rsidRPr="006F6287" w:rsidRDefault="009C4E02" w:rsidP="009C4E02">
      <w:pPr>
        <w:rPr>
          <w:rFonts w:ascii="Verdana" w:hAnsi="Verdana" w:cs="Arial"/>
          <w:lang w:val="es-ES_tradnl" w:eastAsia="es-CO"/>
        </w:rPr>
      </w:pPr>
      <w:r w:rsidRPr="006F6287">
        <w:rPr>
          <w:rFonts w:ascii="Verdana" w:hAnsi="Verdana" w:cs="Arial"/>
          <w:lang w:val="es-ES_tradnl" w:eastAsia="es-CO"/>
        </w:rPr>
        <w:t>La tipificación, estimación y asignación de los Riesgos que puedan afectar el Proceso de Contratación o la ejecución del Contrato se realizó con base en lo señalado en el Manual para la Identificación y Cobertura del Riesgo expedido por Colombia Compra Eficiente y el Documento CONPES 3714 de 2011.</w:t>
      </w:r>
    </w:p>
    <w:p w14:paraId="59969285" w14:textId="77777777" w:rsidR="0034606D" w:rsidRPr="006F6287" w:rsidRDefault="0034606D" w:rsidP="001246B3">
      <w:pPr>
        <w:rPr>
          <w:rFonts w:ascii="Verdana" w:eastAsia="SimSun" w:hAnsi="Verdana" w:cs="Arial"/>
          <w:b/>
          <w:kern w:val="3"/>
          <w:u w:val="single"/>
          <w:lang w:eastAsia="zh-CN" w:bidi="hi-IN"/>
        </w:rPr>
      </w:pPr>
    </w:p>
    <w:p w14:paraId="4D84E88B" w14:textId="77777777" w:rsidR="0058222E" w:rsidRPr="006F6287" w:rsidRDefault="00815604" w:rsidP="00D70D7B">
      <w:pPr>
        <w:spacing w:after="100" w:afterAutospacing="1"/>
        <w:rPr>
          <w:rFonts w:ascii="Verdana" w:eastAsia="SimSun" w:hAnsi="Verdana" w:cs="Arial"/>
          <w:kern w:val="3"/>
          <w:lang w:eastAsia="zh-CN" w:bidi="hi-IN"/>
        </w:rPr>
      </w:pPr>
      <w:r w:rsidRPr="006F6287">
        <w:rPr>
          <w:rFonts w:ascii="Verdana" w:eastAsia="SimSun" w:hAnsi="Verdana" w:cs="Arial"/>
          <w:b/>
          <w:kern w:val="3"/>
          <w:u w:val="single"/>
          <w:lang w:eastAsia="zh-CN" w:bidi="hi-IN"/>
        </w:rPr>
        <w:t>Matriz de Riesgos</w:t>
      </w:r>
    </w:p>
    <w:p w14:paraId="7ED9F954" w14:textId="77777777" w:rsidR="00815604" w:rsidRPr="006F6287" w:rsidRDefault="00815604" w:rsidP="00D70D7B">
      <w:pPr>
        <w:spacing w:after="100" w:afterAutospacing="1"/>
        <w:rPr>
          <w:rFonts w:ascii="Verdana" w:eastAsia="SimSun" w:hAnsi="Verdana" w:cs="Arial"/>
          <w:kern w:val="3"/>
          <w:sz w:val="20"/>
          <w:szCs w:val="20"/>
          <w:lang w:eastAsia="zh-CN" w:bidi="hi-IN"/>
        </w:rPr>
      </w:pPr>
    </w:p>
    <w:tbl>
      <w:tblPr>
        <w:tblW w:w="10223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445"/>
        <w:gridCol w:w="445"/>
        <w:gridCol w:w="461"/>
        <w:gridCol w:w="449"/>
        <w:gridCol w:w="3017"/>
        <w:gridCol w:w="2931"/>
        <w:gridCol w:w="563"/>
        <w:gridCol w:w="563"/>
        <w:gridCol w:w="445"/>
        <w:gridCol w:w="563"/>
      </w:tblGrid>
      <w:tr w:rsidR="00433A9D" w:rsidRPr="006B1347" w14:paraId="2124C458" w14:textId="77777777" w:rsidTr="00F17A6C">
        <w:trPr>
          <w:trHeight w:val="545"/>
        </w:trPr>
        <w:tc>
          <w:tcPr>
            <w:tcW w:w="341" w:type="dxa"/>
            <w:vMerge w:val="restart"/>
            <w:shd w:val="clear" w:color="auto" w:fill="404040" w:themeFill="text1" w:themeFillTint="BF"/>
            <w:vAlign w:val="center"/>
            <w:hideMark/>
          </w:tcPr>
          <w:p w14:paraId="65326DC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</w:pPr>
            <w:r w:rsidRPr="006B1347"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  <w:t>N</w:t>
            </w:r>
          </w:p>
        </w:tc>
        <w:tc>
          <w:tcPr>
            <w:tcW w:w="445" w:type="dxa"/>
            <w:vMerge w:val="restart"/>
            <w:shd w:val="clear" w:color="auto" w:fill="404040" w:themeFill="text1" w:themeFillTint="BF"/>
            <w:textDirection w:val="btLr"/>
            <w:vAlign w:val="center"/>
            <w:hideMark/>
          </w:tcPr>
          <w:p w14:paraId="5AAADBE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</w:pPr>
            <w:r w:rsidRPr="006B1347"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  <w:t>Clase</w:t>
            </w:r>
          </w:p>
        </w:tc>
        <w:tc>
          <w:tcPr>
            <w:tcW w:w="445" w:type="dxa"/>
            <w:vMerge w:val="restart"/>
            <w:shd w:val="clear" w:color="auto" w:fill="404040" w:themeFill="text1" w:themeFillTint="BF"/>
            <w:textDirection w:val="btLr"/>
            <w:vAlign w:val="center"/>
            <w:hideMark/>
          </w:tcPr>
          <w:p w14:paraId="67C276D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</w:pPr>
            <w:r w:rsidRPr="006B1347"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  <w:t>Fuente</w:t>
            </w:r>
          </w:p>
        </w:tc>
        <w:tc>
          <w:tcPr>
            <w:tcW w:w="461" w:type="dxa"/>
            <w:vMerge w:val="restart"/>
            <w:shd w:val="clear" w:color="auto" w:fill="404040" w:themeFill="text1" w:themeFillTint="BF"/>
            <w:textDirection w:val="btLr"/>
            <w:vAlign w:val="center"/>
            <w:hideMark/>
          </w:tcPr>
          <w:p w14:paraId="2A552A9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</w:pPr>
            <w:r w:rsidRPr="006B1347"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  <w:t>Etapa</w:t>
            </w:r>
          </w:p>
        </w:tc>
        <w:tc>
          <w:tcPr>
            <w:tcW w:w="449" w:type="dxa"/>
            <w:vMerge w:val="restart"/>
            <w:shd w:val="clear" w:color="auto" w:fill="404040" w:themeFill="text1" w:themeFillTint="BF"/>
            <w:textDirection w:val="btLr"/>
            <w:vAlign w:val="center"/>
            <w:hideMark/>
          </w:tcPr>
          <w:p w14:paraId="204F7D3C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</w:pPr>
            <w:r w:rsidRPr="006B1347"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  <w:t>Tipo</w:t>
            </w:r>
          </w:p>
        </w:tc>
        <w:tc>
          <w:tcPr>
            <w:tcW w:w="3017" w:type="dxa"/>
            <w:vMerge w:val="restart"/>
            <w:shd w:val="clear" w:color="auto" w:fill="404040" w:themeFill="text1" w:themeFillTint="BF"/>
            <w:vAlign w:val="center"/>
            <w:hideMark/>
          </w:tcPr>
          <w:p w14:paraId="248417E0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</w:pPr>
            <w:r w:rsidRPr="006B1347"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  <w:t>Descripción (Qué puede pasar y Cómo puede Ocurrir)</w:t>
            </w:r>
          </w:p>
        </w:tc>
        <w:tc>
          <w:tcPr>
            <w:tcW w:w="2931" w:type="dxa"/>
            <w:vMerge w:val="restart"/>
            <w:shd w:val="clear" w:color="auto" w:fill="404040" w:themeFill="text1" w:themeFillTint="BF"/>
            <w:vAlign w:val="center"/>
            <w:hideMark/>
          </w:tcPr>
          <w:p w14:paraId="7A94C53D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</w:pPr>
            <w:r w:rsidRPr="006B1347"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  <w:t>Consecuencia de la ocurrencia del evento</w:t>
            </w:r>
          </w:p>
        </w:tc>
        <w:tc>
          <w:tcPr>
            <w:tcW w:w="563" w:type="dxa"/>
            <w:vMerge w:val="restart"/>
            <w:shd w:val="clear" w:color="auto" w:fill="404040" w:themeFill="text1" w:themeFillTint="BF"/>
            <w:textDirection w:val="btLr"/>
            <w:vAlign w:val="center"/>
            <w:hideMark/>
          </w:tcPr>
          <w:p w14:paraId="385F9F5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</w:pPr>
            <w:r w:rsidRPr="006B1347"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  <w:t>Probabilidad</w:t>
            </w:r>
          </w:p>
        </w:tc>
        <w:tc>
          <w:tcPr>
            <w:tcW w:w="563" w:type="dxa"/>
            <w:vMerge w:val="restart"/>
            <w:shd w:val="clear" w:color="auto" w:fill="404040" w:themeFill="text1" w:themeFillTint="BF"/>
            <w:textDirection w:val="btLr"/>
            <w:vAlign w:val="center"/>
            <w:hideMark/>
          </w:tcPr>
          <w:p w14:paraId="4770688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</w:pPr>
            <w:r w:rsidRPr="006B1347"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  <w:t>Impacto</w:t>
            </w:r>
          </w:p>
        </w:tc>
        <w:tc>
          <w:tcPr>
            <w:tcW w:w="445" w:type="dxa"/>
            <w:vMerge w:val="restart"/>
            <w:shd w:val="clear" w:color="auto" w:fill="404040" w:themeFill="text1" w:themeFillTint="BF"/>
            <w:textDirection w:val="btLr"/>
            <w:vAlign w:val="center"/>
            <w:hideMark/>
          </w:tcPr>
          <w:p w14:paraId="3E67DFE9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</w:pPr>
            <w:r w:rsidRPr="006B1347"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  <w:t>Valoración del riesgo</w:t>
            </w:r>
          </w:p>
        </w:tc>
        <w:tc>
          <w:tcPr>
            <w:tcW w:w="563" w:type="dxa"/>
            <w:vMerge w:val="restart"/>
            <w:shd w:val="clear" w:color="auto" w:fill="404040" w:themeFill="text1" w:themeFillTint="BF"/>
            <w:textDirection w:val="btLr"/>
            <w:vAlign w:val="center"/>
            <w:hideMark/>
          </w:tcPr>
          <w:p w14:paraId="3205BCB2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</w:pPr>
            <w:r w:rsidRPr="006B1347">
              <w:rPr>
                <w:rFonts w:ascii="Arial Narrow" w:hAnsi="Arial Narrow" w:cs="Arial"/>
                <w:b/>
                <w:bCs/>
                <w:color w:val="FFFFFF" w:themeColor="background1"/>
                <w:lang w:eastAsia="es-CO"/>
              </w:rPr>
              <w:t>Categoría del Riesgo</w:t>
            </w:r>
          </w:p>
        </w:tc>
      </w:tr>
      <w:tr w:rsidR="00433A9D" w:rsidRPr="006B1347" w14:paraId="18F06112" w14:textId="77777777" w:rsidTr="00F17A6C">
        <w:trPr>
          <w:trHeight w:val="2084"/>
        </w:trPr>
        <w:tc>
          <w:tcPr>
            <w:tcW w:w="341" w:type="dxa"/>
            <w:vMerge/>
            <w:shd w:val="clear" w:color="auto" w:fill="404040" w:themeFill="text1" w:themeFillTint="BF"/>
            <w:vAlign w:val="center"/>
            <w:hideMark/>
          </w:tcPr>
          <w:p w14:paraId="1A8D28FB" w14:textId="77777777" w:rsidR="00433A9D" w:rsidRPr="006B1347" w:rsidRDefault="00433A9D" w:rsidP="00F17A6C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445" w:type="dxa"/>
            <w:vMerge/>
            <w:shd w:val="clear" w:color="auto" w:fill="404040" w:themeFill="text1" w:themeFillTint="BF"/>
            <w:vAlign w:val="center"/>
            <w:hideMark/>
          </w:tcPr>
          <w:p w14:paraId="3469E3D3" w14:textId="77777777" w:rsidR="00433A9D" w:rsidRPr="006B1347" w:rsidRDefault="00433A9D" w:rsidP="00F17A6C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445" w:type="dxa"/>
            <w:vMerge/>
            <w:shd w:val="clear" w:color="auto" w:fill="404040" w:themeFill="text1" w:themeFillTint="BF"/>
            <w:vAlign w:val="center"/>
            <w:hideMark/>
          </w:tcPr>
          <w:p w14:paraId="5D55E9CC" w14:textId="77777777" w:rsidR="00433A9D" w:rsidRPr="006B1347" w:rsidRDefault="00433A9D" w:rsidP="00F17A6C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461" w:type="dxa"/>
            <w:vMerge/>
            <w:shd w:val="clear" w:color="auto" w:fill="404040" w:themeFill="text1" w:themeFillTint="BF"/>
            <w:vAlign w:val="center"/>
            <w:hideMark/>
          </w:tcPr>
          <w:p w14:paraId="43F71046" w14:textId="77777777" w:rsidR="00433A9D" w:rsidRPr="006B1347" w:rsidRDefault="00433A9D" w:rsidP="00F17A6C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449" w:type="dxa"/>
            <w:vMerge/>
            <w:shd w:val="clear" w:color="auto" w:fill="404040" w:themeFill="text1" w:themeFillTint="BF"/>
            <w:vAlign w:val="center"/>
            <w:hideMark/>
          </w:tcPr>
          <w:p w14:paraId="78382D1C" w14:textId="77777777" w:rsidR="00433A9D" w:rsidRPr="006B1347" w:rsidRDefault="00433A9D" w:rsidP="00F17A6C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3017" w:type="dxa"/>
            <w:vMerge/>
            <w:shd w:val="clear" w:color="auto" w:fill="404040" w:themeFill="text1" w:themeFillTint="BF"/>
            <w:vAlign w:val="center"/>
            <w:hideMark/>
          </w:tcPr>
          <w:p w14:paraId="1E2789A7" w14:textId="77777777" w:rsidR="00433A9D" w:rsidRPr="006B1347" w:rsidRDefault="00433A9D" w:rsidP="00F17A6C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2931" w:type="dxa"/>
            <w:vMerge/>
            <w:shd w:val="clear" w:color="auto" w:fill="404040" w:themeFill="text1" w:themeFillTint="BF"/>
            <w:vAlign w:val="center"/>
            <w:hideMark/>
          </w:tcPr>
          <w:p w14:paraId="6DD89685" w14:textId="77777777" w:rsidR="00433A9D" w:rsidRPr="006B1347" w:rsidRDefault="00433A9D" w:rsidP="00F17A6C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563" w:type="dxa"/>
            <w:vMerge/>
            <w:shd w:val="clear" w:color="auto" w:fill="404040" w:themeFill="text1" w:themeFillTint="BF"/>
            <w:vAlign w:val="center"/>
            <w:hideMark/>
          </w:tcPr>
          <w:p w14:paraId="291357C4" w14:textId="77777777" w:rsidR="00433A9D" w:rsidRPr="006B1347" w:rsidRDefault="00433A9D" w:rsidP="00F17A6C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563" w:type="dxa"/>
            <w:vMerge/>
            <w:shd w:val="clear" w:color="auto" w:fill="404040" w:themeFill="text1" w:themeFillTint="BF"/>
            <w:vAlign w:val="center"/>
            <w:hideMark/>
          </w:tcPr>
          <w:p w14:paraId="661ABFCF" w14:textId="77777777" w:rsidR="00433A9D" w:rsidRPr="006B1347" w:rsidRDefault="00433A9D" w:rsidP="00F17A6C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445" w:type="dxa"/>
            <w:vMerge/>
            <w:shd w:val="clear" w:color="auto" w:fill="404040" w:themeFill="text1" w:themeFillTint="BF"/>
            <w:vAlign w:val="center"/>
            <w:hideMark/>
          </w:tcPr>
          <w:p w14:paraId="2B3D5E96" w14:textId="77777777" w:rsidR="00433A9D" w:rsidRPr="006B1347" w:rsidRDefault="00433A9D" w:rsidP="00F17A6C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563" w:type="dxa"/>
            <w:vMerge/>
            <w:shd w:val="clear" w:color="auto" w:fill="404040" w:themeFill="text1" w:themeFillTint="BF"/>
            <w:vAlign w:val="center"/>
            <w:hideMark/>
          </w:tcPr>
          <w:p w14:paraId="6C627A07" w14:textId="77777777" w:rsidR="00433A9D" w:rsidRPr="006B1347" w:rsidRDefault="00433A9D" w:rsidP="00F17A6C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433A9D" w:rsidRPr="006B1347" w14:paraId="2EA952B7" w14:textId="77777777" w:rsidTr="00F17A6C">
        <w:trPr>
          <w:trHeight w:val="1203"/>
        </w:trPr>
        <w:tc>
          <w:tcPr>
            <w:tcW w:w="341" w:type="dxa"/>
            <w:vAlign w:val="center"/>
            <w:hideMark/>
          </w:tcPr>
          <w:p w14:paraId="58C8B30C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2689C67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0E8F039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1F8A961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22AC09E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Riesgos Económicos</w:t>
            </w:r>
          </w:p>
        </w:tc>
        <w:tc>
          <w:tcPr>
            <w:tcW w:w="3017" w:type="dxa"/>
            <w:vAlign w:val="center"/>
            <w:hideMark/>
          </w:tcPr>
          <w:p w14:paraId="3D05BDB0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Variaciones de las tasas de interés, de cambio, devaluación real y otras variables del mercado, frente a las estimaciones iniciales del contratista, que pueden afectar las utilidades esperadas o generar perdidas</w:t>
            </w:r>
          </w:p>
        </w:tc>
        <w:tc>
          <w:tcPr>
            <w:tcW w:w="2931" w:type="dxa"/>
            <w:vAlign w:val="center"/>
            <w:hideMark/>
          </w:tcPr>
          <w:p w14:paraId="204AD4B1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Controversias post contractuales (liquidación)</w:t>
            </w:r>
          </w:p>
        </w:tc>
        <w:tc>
          <w:tcPr>
            <w:tcW w:w="563" w:type="dxa"/>
            <w:vAlign w:val="center"/>
            <w:hideMark/>
          </w:tcPr>
          <w:p w14:paraId="71CE564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13D0C2A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445" w:type="dxa"/>
            <w:vAlign w:val="center"/>
            <w:hideMark/>
          </w:tcPr>
          <w:p w14:paraId="4AC93B7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6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24FA3AA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Alto</w:t>
            </w:r>
          </w:p>
        </w:tc>
      </w:tr>
      <w:tr w:rsidR="00433A9D" w:rsidRPr="006B1347" w14:paraId="22D41E6D" w14:textId="77777777" w:rsidTr="00F17A6C">
        <w:trPr>
          <w:trHeight w:val="2026"/>
        </w:trPr>
        <w:tc>
          <w:tcPr>
            <w:tcW w:w="341" w:type="dxa"/>
            <w:vAlign w:val="center"/>
            <w:hideMark/>
          </w:tcPr>
          <w:p w14:paraId="30D710D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2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45AE0A8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40D7CC7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31CCCE9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191F833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Riesgos Económicos</w:t>
            </w:r>
          </w:p>
        </w:tc>
        <w:tc>
          <w:tcPr>
            <w:tcW w:w="3017" w:type="dxa"/>
            <w:vAlign w:val="center"/>
            <w:hideMark/>
          </w:tcPr>
          <w:p w14:paraId="68FA1D43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Ocurre en los eventos climáticos, certificados por la autoridad competente, que superan las expectativas del ciclo hidrológico normal, y que generan retrasos y sobre costos en la ejecución del contrato</w:t>
            </w:r>
          </w:p>
        </w:tc>
        <w:tc>
          <w:tcPr>
            <w:tcW w:w="2931" w:type="dxa"/>
            <w:vAlign w:val="center"/>
            <w:hideMark/>
          </w:tcPr>
          <w:p w14:paraId="5E418155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Retrasos en la ejecución de las obras y rompimiento del equilibrio económico del contrato</w:t>
            </w:r>
          </w:p>
        </w:tc>
        <w:tc>
          <w:tcPr>
            <w:tcW w:w="563" w:type="dxa"/>
            <w:vAlign w:val="center"/>
            <w:hideMark/>
          </w:tcPr>
          <w:p w14:paraId="120B8C99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601D809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66DA940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8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6A6E418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Extremo</w:t>
            </w:r>
          </w:p>
        </w:tc>
      </w:tr>
      <w:tr w:rsidR="00433A9D" w:rsidRPr="006B1347" w14:paraId="5DFB7103" w14:textId="77777777" w:rsidTr="00F17A6C">
        <w:trPr>
          <w:trHeight w:val="1945"/>
        </w:trPr>
        <w:tc>
          <w:tcPr>
            <w:tcW w:w="341" w:type="dxa"/>
            <w:vAlign w:val="center"/>
            <w:hideMark/>
          </w:tcPr>
          <w:p w14:paraId="3E9FFB4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lastRenderedPageBreak/>
              <w:t>3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1A78087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09EAB5F9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0C53D007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0660435C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Riesgos Económicos</w:t>
            </w:r>
          </w:p>
        </w:tc>
        <w:tc>
          <w:tcPr>
            <w:tcW w:w="3017" w:type="dxa"/>
            <w:vAlign w:val="center"/>
            <w:hideMark/>
          </w:tcPr>
          <w:p w14:paraId="3604D758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Variación de precios de los insumos y/o servicios </w:t>
            </w:r>
          </w:p>
        </w:tc>
        <w:tc>
          <w:tcPr>
            <w:tcW w:w="2931" w:type="dxa"/>
            <w:vAlign w:val="center"/>
            <w:hideMark/>
          </w:tcPr>
          <w:p w14:paraId="72C62A46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Retrasos en la ejecución de las obras y rompimiento del equilibrio económico del contrato</w:t>
            </w:r>
          </w:p>
        </w:tc>
        <w:tc>
          <w:tcPr>
            <w:tcW w:w="563" w:type="dxa"/>
            <w:vAlign w:val="center"/>
            <w:hideMark/>
          </w:tcPr>
          <w:p w14:paraId="3750C16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4</w:t>
            </w:r>
          </w:p>
        </w:tc>
        <w:tc>
          <w:tcPr>
            <w:tcW w:w="563" w:type="dxa"/>
            <w:vAlign w:val="center"/>
            <w:hideMark/>
          </w:tcPr>
          <w:p w14:paraId="3019787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445" w:type="dxa"/>
            <w:vAlign w:val="center"/>
            <w:hideMark/>
          </w:tcPr>
          <w:p w14:paraId="5C306A50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7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486B788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Alto</w:t>
            </w:r>
          </w:p>
        </w:tc>
      </w:tr>
      <w:tr w:rsidR="00433A9D" w:rsidRPr="006B1347" w14:paraId="6017575A" w14:textId="77777777" w:rsidTr="00F17A6C">
        <w:trPr>
          <w:trHeight w:val="3900"/>
        </w:trPr>
        <w:tc>
          <w:tcPr>
            <w:tcW w:w="341" w:type="dxa"/>
            <w:vAlign w:val="center"/>
            <w:hideMark/>
          </w:tcPr>
          <w:p w14:paraId="122B731C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4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27EBA5A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163FDA02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2A9B316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Selección y 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1EC227FD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Riesgos Económicos</w:t>
            </w:r>
          </w:p>
        </w:tc>
        <w:tc>
          <w:tcPr>
            <w:tcW w:w="3017" w:type="dxa"/>
            <w:shd w:val="clear" w:color="000000" w:fill="FFFFFF"/>
            <w:vAlign w:val="center"/>
            <w:hideMark/>
          </w:tcPr>
          <w:p w14:paraId="1984CEE8" w14:textId="77777777" w:rsidR="00433A9D" w:rsidRPr="006B1347" w:rsidRDefault="00433A9D" w:rsidP="00F17A6C">
            <w:pPr>
              <w:rPr>
                <w:rFonts w:ascii="Arial Narrow" w:hAnsi="Arial Narrow" w:cs="Arial"/>
                <w:lang w:eastAsia="es-CO"/>
              </w:rPr>
            </w:pPr>
            <w:r>
              <w:rPr>
                <w:rFonts w:ascii="Arial Narrow" w:hAnsi="Arial Narrow" w:cs="Arial"/>
                <w:bCs/>
                <w:lang w:eastAsia="es-CO"/>
              </w:rPr>
              <w:t>El proponente presenta p</w:t>
            </w:r>
            <w:r w:rsidRPr="006B1347">
              <w:rPr>
                <w:rFonts w:ascii="Arial Narrow" w:hAnsi="Arial Narrow" w:cs="Arial"/>
                <w:bCs/>
                <w:lang w:eastAsia="es-CO"/>
              </w:rPr>
              <w:t xml:space="preserve">recios </w:t>
            </w:r>
            <w:r>
              <w:rPr>
                <w:rFonts w:ascii="Arial Narrow" w:hAnsi="Arial Narrow" w:cs="Arial"/>
                <w:bCs/>
                <w:lang w:eastAsia="es-CO"/>
              </w:rPr>
              <w:t>p</w:t>
            </w:r>
            <w:r w:rsidRPr="006B1347">
              <w:rPr>
                <w:rFonts w:ascii="Arial Narrow" w:hAnsi="Arial Narrow" w:cs="Arial"/>
                <w:bCs/>
                <w:lang w:eastAsia="es-CO"/>
              </w:rPr>
              <w:t>or debajo del Presupuesto Oficial</w:t>
            </w:r>
            <w:r w:rsidRPr="006B1347">
              <w:rPr>
                <w:rFonts w:ascii="Arial Narrow" w:hAnsi="Arial Narrow" w:cs="Arial"/>
                <w:lang w:eastAsia="es-CO"/>
              </w:rPr>
              <w:t xml:space="preserve">, </w:t>
            </w:r>
            <w:proofErr w:type="spellStart"/>
            <w:r w:rsidRPr="006B1347">
              <w:rPr>
                <w:rFonts w:ascii="Arial Narrow" w:hAnsi="Arial Narrow" w:cs="Arial"/>
                <w:lang w:eastAsia="es-CO"/>
              </w:rPr>
              <w:t>ó</w:t>
            </w:r>
            <w:proofErr w:type="spellEnd"/>
            <w:r w:rsidRPr="006B1347">
              <w:rPr>
                <w:rFonts w:ascii="Arial Narrow" w:hAnsi="Arial Narrow" w:cs="Arial"/>
                <w:lang w:eastAsia="es-CO"/>
              </w:rPr>
              <w:t xml:space="preserve"> por debajo de los ítems del presupuesto oficial o de los insumos del APU del presupuesto oficial, tales como equipos, materiales, mano de obra, transportes, AIU EN LA PROPUESTA DEL PROPONENTE Y/O CONTRATISTA</w:t>
            </w:r>
          </w:p>
        </w:tc>
        <w:tc>
          <w:tcPr>
            <w:tcW w:w="2931" w:type="dxa"/>
            <w:shd w:val="clear" w:color="000000" w:fill="FFFFFF"/>
            <w:vAlign w:val="center"/>
            <w:hideMark/>
          </w:tcPr>
          <w:p w14:paraId="17026463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I</w:t>
            </w:r>
            <w:r w:rsidRPr="004B678F">
              <w:rPr>
                <w:rFonts w:ascii="Arial Narrow" w:hAnsi="Arial Narrow" w:cs="Arial"/>
                <w:color w:val="000000"/>
                <w:lang w:eastAsia="es-CO"/>
              </w:rPr>
              <w:t>mpacto económico al proponente o contratista</w:t>
            </w:r>
          </w:p>
        </w:tc>
        <w:tc>
          <w:tcPr>
            <w:tcW w:w="563" w:type="dxa"/>
            <w:vAlign w:val="center"/>
            <w:hideMark/>
          </w:tcPr>
          <w:p w14:paraId="51D1F617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2</w:t>
            </w:r>
          </w:p>
        </w:tc>
        <w:tc>
          <w:tcPr>
            <w:tcW w:w="563" w:type="dxa"/>
            <w:vAlign w:val="center"/>
            <w:hideMark/>
          </w:tcPr>
          <w:p w14:paraId="7EDABF2C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2</w:t>
            </w:r>
          </w:p>
        </w:tc>
        <w:tc>
          <w:tcPr>
            <w:tcW w:w="445" w:type="dxa"/>
            <w:vAlign w:val="center"/>
            <w:hideMark/>
          </w:tcPr>
          <w:p w14:paraId="28E4EDA0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4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717CE98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Bajo</w:t>
            </w:r>
          </w:p>
        </w:tc>
      </w:tr>
      <w:tr w:rsidR="00433A9D" w:rsidRPr="006B1347" w14:paraId="7F579FC4" w14:textId="77777777" w:rsidTr="00F17A6C">
        <w:trPr>
          <w:trHeight w:val="1681"/>
        </w:trPr>
        <w:tc>
          <w:tcPr>
            <w:tcW w:w="341" w:type="dxa"/>
            <w:vAlign w:val="center"/>
            <w:hideMark/>
          </w:tcPr>
          <w:p w14:paraId="7A7EEED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729D6B1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1C22726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708AB40C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142A352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Riesgos Financieros</w:t>
            </w:r>
          </w:p>
        </w:tc>
        <w:tc>
          <w:tcPr>
            <w:tcW w:w="3017" w:type="dxa"/>
            <w:vAlign w:val="center"/>
            <w:hideMark/>
          </w:tcPr>
          <w:p w14:paraId="32452E19" w14:textId="77777777" w:rsidR="00433A9D" w:rsidRPr="004B678F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4B678F">
              <w:rPr>
                <w:rFonts w:ascii="Arial Narrow" w:hAnsi="Arial Narrow" w:cs="Arial"/>
                <w:color w:val="000000"/>
                <w:lang w:eastAsia="es-CO"/>
              </w:rPr>
              <w:t>Que el contratista no cuente o se quede sin liquidez para ejecutar el contrato, compra de materiales, pago de arrendamiento de equipos (en caso de que no sean propios), pagar remuneraciones, honorarios, y/o salarios pagar insumos, y demás gastos ordinarios de la ejecución</w:t>
            </w:r>
          </w:p>
          <w:p w14:paraId="23063945" w14:textId="77777777" w:rsidR="00433A9D" w:rsidRPr="004B678F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40CFCAC8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4B678F">
              <w:rPr>
                <w:rFonts w:ascii="Arial Narrow" w:hAnsi="Arial Narrow" w:cs="Arial"/>
                <w:color w:val="000000"/>
                <w:lang w:eastAsia="es-CO"/>
              </w:rPr>
              <w:t>Variación de los términos de financiación, asociados a las fluctuaciones como: plazos, tasa de interés, garantías, contragarantías, refinanciación, tasas de cambio, ajustes por inflación y a las variaciones cambiarias y financieras.</w:t>
            </w:r>
          </w:p>
        </w:tc>
        <w:tc>
          <w:tcPr>
            <w:tcW w:w="2931" w:type="dxa"/>
            <w:vAlign w:val="center"/>
            <w:hideMark/>
          </w:tcPr>
          <w:p w14:paraId="7EA335C4" w14:textId="77777777" w:rsidR="00433A9D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Problemas de iliquidez del CONTRATISTA por no prever los costos de financiación en los que deba incurrir durante la ejecución del contrato. </w:t>
            </w:r>
          </w:p>
          <w:p w14:paraId="56529B9C" w14:textId="77777777" w:rsidR="00433A9D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3A288FCE" w14:textId="77777777" w:rsidR="00433A9D" w:rsidRPr="004B678F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4B678F">
              <w:rPr>
                <w:rFonts w:ascii="Arial Narrow" w:hAnsi="Arial Narrow" w:cs="Arial"/>
                <w:color w:val="000000"/>
                <w:lang w:eastAsia="es-CO"/>
              </w:rPr>
              <w:t>Grave afectación a la ejecución, que puede incluso conducir a la paralización</w:t>
            </w:r>
          </w:p>
          <w:p w14:paraId="4121AD66" w14:textId="77777777" w:rsidR="00433A9D" w:rsidRPr="004B678F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4405FA8C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4B678F">
              <w:rPr>
                <w:rFonts w:ascii="Arial Narrow" w:hAnsi="Arial Narrow" w:cs="Arial"/>
                <w:color w:val="000000"/>
                <w:lang w:eastAsia="es-CO"/>
              </w:rPr>
              <w:t>Iliquidez del contratista, falta de capacidad de endeudamiento, e incremento de los costos de adquisición</w:t>
            </w:r>
          </w:p>
        </w:tc>
        <w:tc>
          <w:tcPr>
            <w:tcW w:w="563" w:type="dxa"/>
            <w:vAlign w:val="center"/>
            <w:hideMark/>
          </w:tcPr>
          <w:p w14:paraId="3469943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</w:t>
            </w:r>
          </w:p>
        </w:tc>
        <w:tc>
          <w:tcPr>
            <w:tcW w:w="563" w:type="dxa"/>
            <w:vAlign w:val="center"/>
            <w:hideMark/>
          </w:tcPr>
          <w:p w14:paraId="5166F2A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75776B6C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6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0160F30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Alto</w:t>
            </w:r>
          </w:p>
        </w:tc>
      </w:tr>
      <w:tr w:rsidR="00433A9D" w:rsidRPr="006B1347" w14:paraId="259A24C2" w14:textId="77777777" w:rsidTr="00F17A6C">
        <w:trPr>
          <w:trHeight w:val="2282"/>
        </w:trPr>
        <w:tc>
          <w:tcPr>
            <w:tcW w:w="341" w:type="dxa"/>
            <w:vAlign w:val="center"/>
            <w:hideMark/>
          </w:tcPr>
          <w:p w14:paraId="5F990EB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6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0DD5CF02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5E733B5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05B9757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36DC3AC9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Riesgos sociales y políticos</w:t>
            </w:r>
          </w:p>
        </w:tc>
        <w:tc>
          <w:tcPr>
            <w:tcW w:w="3017" w:type="dxa"/>
            <w:vAlign w:val="center"/>
            <w:hideMark/>
          </w:tcPr>
          <w:p w14:paraId="39C801B8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Se refiere a los efectos desfavorables o cualquier daño, perjuicio o perdida de los bienes a cargo del contratista, causados por terceros diferentes al municipio </w:t>
            </w:r>
          </w:p>
        </w:tc>
        <w:tc>
          <w:tcPr>
            <w:tcW w:w="2931" w:type="dxa"/>
            <w:vAlign w:val="center"/>
            <w:hideMark/>
          </w:tcPr>
          <w:p w14:paraId="48F6BB5F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Retrasos en la ejecución de las obras </w:t>
            </w:r>
          </w:p>
        </w:tc>
        <w:tc>
          <w:tcPr>
            <w:tcW w:w="563" w:type="dxa"/>
            <w:vAlign w:val="center"/>
            <w:hideMark/>
          </w:tcPr>
          <w:p w14:paraId="3C7F08F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7087192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445" w:type="dxa"/>
            <w:vAlign w:val="center"/>
            <w:hideMark/>
          </w:tcPr>
          <w:p w14:paraId="09DD0D4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6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0053B02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Alto</w:t>
            </w:r>
          </w:p>
        </w:tc>
      </w:tr>
      <w:tr w:rsidR="00433A9D" w:rsidRPr="006B1347" w14:paraId="5F41AAC8" w14:textId="77777777" w:rsidTr="00F17A6C">
        <w:trPr>
          <w:trHeight w:val="2326"/>
        </w:trPr>
        <w:tc>
          <w:tcPr>
            <w:tcW w:w="341" w:type="dxa"/>
            <w:vAlign w:val="center"/>
            <w:hideMark/>
          </w:tcPr>
          <w:p w14:paraId="2580F6B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lastRenderedPageBreak/>
              <w:t>7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5F861409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Especifico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35BB8EA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775BD63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19369F87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Riesgos sociales y políticos</w:t>
            </w:r>
          </w:p>
        </w:tc>
        <w:tc>
          <w:tcPr>
            <w:tcW w:w="3017" w:type="dxa"/>
            <w:vAlign w:val="center"/>
            <w:hideMark/>
          </w:tcPr>
          <w:p w14:paraId="5F92CEE4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Caso fortuito por terrorismo</w:t>
            </w:r>
          </w:p>
        </w:tc>
        <w:tc>
          <w:tcPr>
            <w:tcW w:w="2931" w:type="dxa"/>
            <w:vAlign w:val="center"/>
            <w:hideMark/>
          </w:tcPr>
          <w:p w14:paraId="1E17DA4B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Perdida y/o daño de equipos que son necesarios para la ejecución de la obra </w:t>
            </w:r>
          </w:p>
        </w:tc>
        <w:tc>
          <w:tcPr>
            <w:tcW w:w="563" w:type="dxa"/>
            <w:vAlign w:val="center"/>
            <w:hideMark/>
          </w:tcPr>
          <w:p w14:paraId="141E447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</w:t>
            </w:r>
          </w:p>
        </w:tc>
        <w:tc>
          <w:tcPr>
            <w:tcW w:w="563" w:type="dxa"/>
            <w:vAlign w:val="center"/>
            <w:hideMark/>
          </w:tcPr>
          <w:p w14:paraId="68346AA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3DED87ED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6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5C846C7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Alto</w:t>
            </w:r>
          </w:p>
        </w:tc>
      </w:tr>
      <w:tr w:rsidR="00433A9D" w:rsidRPr="006B1347" w14:paraId="0E64E026" w14:textId="77777777" w:rsidTr="00F17A6C">
        <w:trPr>
          <w:trHeight w:val="2370"/>
        </w:trPr>
        <w:tc>
          <w:tcPr>
            <w:tcW w:w="341" w:type="dxa"/>
            <w:vAlign w:val="center"/>
            <w:hideMark/>
          </w:tcPr>
          <w:p w14:paraId="7541922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8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6F9181D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3C2E150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4EEA83BD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15CCD8B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Riesgos sociales y políticos</w:t>
            </w:r>
          </w:p>
        </w:tc>
        <w:tc>
          <w:tcPr>
            <w:tcW w:w="3017" w:type="dxa"/>
            <w:vAlign w:val="center"/>
            <w:hideMark/>
          </w:tcPr>
          <w:p w14:paraId="6EA25292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Orden Público</w:t>
            </w:r>
          </w:p>
        </w:tc>
        <w:tc>
          <w:tcPr>
            <w:tcW w:w="2931" w:type="dxa"/>
            <w:vAlign w:val="center"/>
            <w:hideMark/>
          </w:tcPr>
          <w:p w14:paraId="64469B6E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Perjuicios o pérdida de los bienes a cargo del contratista, causados por disturbios violentos, actos terroristas, paros, huelgas y además que se impida alcanzar el objeto contractual.</w:t>
            </w:r>
          </w:p>
        </w:tc>
        <w:tc>
          <w:tcPr>
            <w:tcW w:w="563" w:type="dxa"/>
            <w:vAlign w:val="center"/>
            <w:hideMark/>
          </w:tcPr>
          <w:p w14:paraId="03C5B67D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52F67F9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558AE907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8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4D1A8B7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Extremo</w:t>
            </w:r>
          </w:p>
        </w:tc>
      </w:tr>
      <w:tr w:rsidR="00433A9D" w:rsidRPr="006B1347" w14:paraId="0BDE8E68" w14:textId="77777777" w:rsidTr="00F17A6C">
        <w:trPr>
          <w:trHeight w:val="1734"/>
        </w:trPr>
        <w:tc>
          <w:tcPr>
            <w:tcW w:w="341" w:type="dxa"/>
            <w:vAlign w:val="center"/>
            <w:hideMark/>
          </w:tcPr>
          <w:p w14:paraId="4EF7C0B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9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11A8D4B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14F55F1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Interno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244D39A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Planeación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41A904F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0C30875F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No obtención del objeto del contrato</w:t>
            </w:r>
          </w:p>
        </w:tc>
        <w:tc>
          <w:tcPr>
            <w:tcW w:w="2931" w:type="dxa"/>
            <w:vAlign w:val="center"/>
            <w:hideMark/>
          </w:tcPr>
          <w:p w14:paraId="3CC602DB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Se presenta por la existencia de inadecuados procesos, procedimientos, parámetros, sistemas de información y tecnológicos, equipos humanos o técnicos sin que los mismos sean imputables a las partes</w:t>
            </w:r>
          </w:p>
        </w:tc>
        <w:tc>
          <w:tcPr>
            <w:tcW w:w="563" w:type="dxa"/>
            <w:vAlign w:val="center"/>
            <w:hideMark/>
          </w:tcPr>
          <w:p w14:paraId="1368600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</w:t>
            </w:r>
          </w:p>
        </w:tc>
        <w:tc>
          <w:tcPr>
            <w:tcW w:w="563" w:type="dxa"/>
            <w:vAlign w:val="center"/>
            <w:hideMark/>
          </w:tcPr>
          <w:p w14:paraId="2637D50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46F4AFD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6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340A57F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Alto</w:t>
            </w:r>
          </w:p>
        </w:tc>
      </w:tr>
      <w:tr w:rsidR="00433A9D" w:rsidRPr="006B1347" w14:paraId="36FA8BD6" w14:textId="77777777" w:rsidTr="00F17A6C">
        <w:trPr>
          <w:trHeight w:val="1594"/>
        </w:trPr>
        <w:tc>
          <w:tcPr>
            <w:tcW w:w="341" w:type="dxa"/>
            <w:vAlign w:val="center"/>
            <w:hideMark/>
          </w:tcPr>
          <w:p w14:paraId="7409EB2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10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3B8FC41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1562566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Interno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7898D7F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Planeación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1AA34F2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061FFB83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Errores en la etapa precontractual consignados en documentos como los estudios previos, pliegos de condiciones, entre otros, que puedan afectar la obtención del objeto contractual.  </w:t>
            </w:r>
          </w:p>
        </w:tc>
        <w:tc>
          <w:tcPr>
            <w:tcW w:w="2931" w:type="dxa"/>
            <w:vAlign w:val="center"/>
            <w:hideMark/>
          </w:tcPr>
          <w:p w14:paraId="1400857E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Retrasos en la planeación, revisión, ajuste y seguimiento en la fase precontractual</w:t>
            </w:r>
          </w:p>
        </w:tc>
        <w:tc>
          <w:tcPr>
            <w:tcW w:w="563" w:type="dxa"/>
            <w:vAlign w:val="center"/>
            <w:hideMark/>
          </w:tcPr>
          <w:p w14:paraId="730DEF6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78A5A72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060A0BC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8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4A72F3A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Extremo</w:t>
            </w:r>
          </w:p>
        </w:tc>
      </w:tr>
      <w:tr w:rsidR="00433A9D" w:rsidRPr="006B1347" w14:paraId="2C9684C1" w14:textId="77777777" w:rsidTr="00F17A6C">
        <w:trPr>
          <w:trHeight w:val="1650"/>
        </w:trPr>
        <w:tc>
          <w:tcPr>
            <w:tcW w:w="341" w:type="dxa"/>
            <w:vAlign w:val="center"/>
            <w:hideMark/>
          </w:tcPr>
          <w:p w14:paraId="44D36AB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11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7DB2678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403B10A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34FA58F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Contratación 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0334D3F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1CB3FCA7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Errores cometidos por el contratista en la presentación de documentos </w:t>
            </w:r>
          </w:p>
        </w:tc>
        <w:tc>
          <w:tcPr>
            <w:tcW w:w="2931" w:type="dxa"/>
            <w:vAlign w:val="center"/>
            <w:hideMark/>
          </w:tcPr>
          <w:p w14:paraId="3FF05150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Retrasos en la iniciación de las obras del objeto contractual.</w:t>
            </w:r>
          </w:p>
        </w:tc>
        <w:tc>
          <w:tcPr>
            <w:tcW w:w="563" w:type="dxa"/>
            <w:vAlign w:val="center"/>
            <w:hideMark/>
          </w:tcPr>
          <w:p w14:paraId="016C2ED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</w:t>
            </w:r>
          </w:p>
        </w:tc>
        <w:tc>
          <w:tcPr>
            <w:tcW w:w="563" w:type="dxa"/>
            <w:vAlign w:val="center"/>
            <w:hideMark/>
          </w:tcPr>
          <w:p w14:paraId="2E4E0AE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03062CF9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6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1EF809A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Alto</w:t>
            </w:r>
          </w:p>
        </w:tc>
      </w:tr>
      <w:tr w:rsidR="00433A9D" w:rsidRPr="006B1347" w14:paraId="20D91F29" w14:textId="77777777" w:rsidTr="00F17A6C">
        <w:trPr>
          <w:trHeight w:val="1867"/>
        </w:trPr>
        <w:tc>
          <w:tcPr>
            <w:tcW w:w="341" w:type="dxa"/>
            <w:vAlign w:val="center"/>
            <w:hideMark/>
          </w:tcPr>
          <w:p w14:paraId="256F9A5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12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4581FDD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26F3588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60986FE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Planeación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530B20C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6CF657C6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Que se den aumentos de plazo de ejecución del contrato por circunstancias no imputables a las partes</w:t>
            </w:r>
          </w:p>
        </w:tc>
        <w:tc>
          <w:tcPr>
            <w:tcW w:w="2931" w:type="dxa"/>
            <w:vAlign w:val="center"/>
            <w:hideMark/>
          </w:tcPr>
          <w:p w14:paraId="41923812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Aumento de costos operacionales y retraso en la entrega del proyecto a la comunidad</w:t>
            </w:r>
          </w:p>
        </w:tc>
        <w:tc>
          <w:tcPr>
            <w:tcW w:w="563" w:type="dxa"/>
            <w:vAlign w:val="center"/>
            <w:hideMark/>
          </w:tcPr>
          <w:p w14:paraId="217DEF0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77475C8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2</w:t>
            </w:r>
          </w:p>
        </w:tc>
        <w:tc>
          <w:tcPr>
            <w:tcW w:w="445" w:type="dxa"/>
            <w:vAlign w:val="center"/>
            <w:hideMark/>
          </w:tcPr>
          <w:p w14:paraId="07B6368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7455F65C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Medio</w:t>
            </w:r>
          </w:p>
        </w:tc>
      </w:tr>
      <w:tr w:rsidR="00433A9D" w:rsidRPr="006B1347" w14:paraId="1E32CA6B" w14:textId="77777777" w:rsidTr="00F17A6C">
        <w:trPr>
          <w:trHeight w:val="1119"/>
        </w:trPr>
        <w:tc>
          <w:tcPr>
            <w:tcW w:w="341" w:type="dxa"/>
            <w:vAlign w:val="center"/>
            <w:hideMark/>
          </w:tcPr>
          <w:p w14:paraId="448D2569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13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75E10BD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Especifico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55909AD0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Interno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278FF7B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Contratación 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591E7B92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01777F50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Son los efectos derivados del incumplimiento de las especificaciones técnicas y características de los materiales, </w:t>
            </w:r>
            <w:r w:rsidRPr="006B1347">
              <w:rPr>
                <w:rFonts w:ascii="Arial Narrow" w:hAnsi="Arial Narrow" w:cs="Arial"/>
                <w:color w:val="000000"/>
                <w:lang w:eastAsia="es-CO"/>
              </w:rPr>
              <w:lastRenderedPageBreak/>
              <w:t>insumos y demás elementos necesarios para la ejecución del contrato</w:t>
            </w:r>
          </w:p>
        </w:tc>
        <w:tc>
          <w:tcPr>
            <w:tcW w:w="2931" w:type="dxa"/>
            <w:vAlign w:val="center"/>
            <w:hideMark/>
          </w:tcPr>
          <w:p w14:paraId="605BC96C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lastRenderedPageBreak/>
              <w:t>Problemas de estabilidad y eficacia de las obras; y posibles retrasos en el cronograma de obras</w:t>
            </w:r>
          </w:p>
        </w:tc>
        <w:tc>
          <w:tcPr>
            <w:tcW w:w="563" w:type="dxa"/>
            <w:vAlign w:val="center"/>
            <w:hideMark/>
          </w:tcPr>
          <w:p w14:paraId="3C4B184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4</w:t>
            </w:r>
          </w:p>
        </w:tc>
        <w:tc>
          <w:tcPr>
            <w:tcW w:w="563" w:type="dxa"/>
            <w:vAlign w:val="center"/>
            <w:hideMark/>
          </w:tcPr>
          <w:p w14:paraId="27EEBA7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0C73AE2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9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4CEC3ED2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Extremo</w:t>
            </w:r>
          </w:p>
        </w:tc>
      </w:tr>
      <w:tr w:rsidR="00433A9D" w:rsidRPr="006B1347" w14:paraId="0B4F320D" w14:textId="77777777" w:rsidTr="00F17A6C">
        <w:trPr>
          <w:trHeight w:val="1803"/>
        </w:trPr>
        <w:tc>
          <w:tcPr>
            <w:tcW w:w="341" w:type="dxa"/>
            <w:vAlign w:val="center"/>
            <w:hideMark/>
          </w:tcPr>
          <w:p w14:paraId="1D8C335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14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2699E9C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79AAE72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2C72141D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2F7A73A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07B49735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Son los efectos derivados de la inoportuna o insuficiente provisión de materiales, insumos y demás elementos necesarios para la ejecución del contrato</w:t>
            </w:r>
          </w:p>
        </w:tc>
        <w:tc>
          <w:tcPr>
            <w:tcW w:w="2931" w:type="dxa"/>
            <w:vAlign w:val="center"/>
            <w:hideMark/>
          </w:tcPr>
          <w:p w14:paraId="36197A30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Problemas de estabilidad y eficacia de las obras; y posibles retrasos en el cronograma de obras</w:t>
            </w:r>
          </w:p>
        </w:tc>
        <w:tc>
          <w:tcPr>
            <w:tcW w:w="563" w:type="dxa"/>
            <w:vAlign w:val="center"/>
            <w:hideMark/>
          </w:tcPr>
          <w:p w14:paraId="0A71442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365149C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6788A33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8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7FEB920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Extremo</w:t>
            </w:r>
          </w:p>
        </w:tc>
      </w:tr>
      <w:tr w:rsidR="00433A9D" w:rsidRPr="006B1347" w14:paraId="2254445E" w14:textId="77777777" w:rsidTr="00F17A6C">
        <w:trPr>
          <w:trHeight w:val="1688"/>
        </w:trPr>
        <w:tc>
          <w:tcPr>
            <w:tcW w:w="341" w:type="dxa"/>
            <w:vAlign w:val="center"/>
            <w:hideMark/>
          </w:tcPr>
          <w:p w14:paraId="783FE61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15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466A6070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7A0273FD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4B289FC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7087751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17A378E7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Son los efectos derivados del incumplimiento de las especificaciones técnicas y características de los suministros solicitados.</w:t>
            </w:r>
          </w:p>
        </w:tc>
        <w:tc>
          <w:tcPr>
            <w:tcW w:w="2931" w:type="dxa"/>
            <w:vAlign w:val="center"/>
            <w:hideMark/>
          </w:tcPr>
          <w:p w14:paraId="7561FA53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Controversias administrativas o jurídicas que pueden afectar el cronograma de obras</w:t>
            </w:r>
          </w:p>
        </w:tc>
        <w:tc>
          <w:tcPr>
            <w:tcW w:w="563" w:type="dxa"/>
            <w:vAlign w:val="center"/>
            <w:hideMark/>
          </w:tcPr>
          <w:p w14:paraId="4ACD3C2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3E88D977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445" w:type="dxa"/>
            <w:vAlign w:val="center"/>
            <w:hideMark/>
          </w:tcPr>
          <w:p w14:paraId="230B806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6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0B499E8D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Alto</w:t>
            </w:r>
          </w:p>
        </w:tc>
      </w:tr>
      <w:tr w:rsidR="00433A9D" w:rsidRPr="006B1347" w14:paraId="15AC5013" w14:textId="77777777" w:rsidTr="00F17A6C">
        <w:trPr>
          <w:trHeight w:val="1455"/>
        </w:trPr>
        <w:tc>
          <w:tcPr>
            <w:tcW w:w="341" w:type="dxa"/>
            <w:vAlign w:val="center"/>
            <w:hideMark/>
          </w:tcPr>
          <w:p w14:paraId="15CF860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16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55552650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3EABA34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59A2C66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54A377A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1E3207A7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Ocurre en los eventos de que trata la Ley 599 de 2000 (Código penal), por cualquier daño en bienes muebles o inmuebles de la obra, que aún no han sido recibidos por la interventoría y/o Supervisión, o por falta de calidad de la misma</w:t>
            </w:r>
          </w:p>
        </w:tc>
        <w:tc>
          <w:tcPr>
            <w:tcW w:w="2931" w:type="dxa"/>
            <w:vAlign w:val="center"/>
            <w:hideMark/>
          </w:tcPr>
          <w:p w14:paraId="005C5E2D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Insuficientes índices de calidad de las obras, retrasos en la entrega de las obras contratadas</w:t>
            </w:r>
          </w:p>
        </w:tc>
        <w:tc>
          <w:tcPr>
            <w:tcW w:w="563" w:type="dxa"/>
            <w:vAlign w:val="center"/>
            <w:hideMark/>
          </w:tcPr>
          <w:p w14:paraId="729582E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6CCC4F6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750F2F5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8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6298A98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Alto</w:t>
            </w:r>
          </w:p>
        </w:tc>
      </w:tr>
      <w:tr w:rsidR="00433A9D" w:rsidRPr="006B1347" w14:paraId="32A949C5" w14:textId="77777777" w:rsidTr="00F17A6C">
        <w:trPr>
          <w:trHeight w:val="1815"/>
        </w:trPr>
        <w:tc>
          <w:tcPr>
            <w:tcW w:w="341" w:type="dxa"/>
            <w:vAlign w:val="center"/>
            <w:hideMark/>
          </w:tcPr>
          <w:p w14:paraId="0E88ACF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17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2C5F4A5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5EB35BD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21D84E4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0240ED7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0FE1B922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Ocurre cuando un trabajador o cualquier tipo de persona ajena a la obra, sufre algún tipo de lesión o daño a su integridad física, mental o moral</w:t>
            </w:r>
          </w:p>
        </w:tc>
        <w:tc>
          <w:tcPr>
            <w:tcW w:w="2931" w:type="dxa"/>
            <w:vAlign w:val="center"/>
            <w:hideMark/>
          </w:tcPr>
          <w:p w14:paraId="6187FFDB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Controversias administrativas o jurídicas por reclamaciones que se lleven a cabo</w:t>
            </w:r>
          </w:p>
        </w:tc>
        <w:tc>
          <w:tcPr>
            <w:tcW w:w="563" w:type="dxa"/>
            <w:vAlign w:val="center"/>
            <w:hideMark/>
          </w:tcPr>
          <w:p w14:paraId="396F4F5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7E44CF0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30C7C98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8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7B8B863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Extremo</w:t>
            </w:r>
          </w:p>
        </w:tc>
      </w:tr>
      <w:tr w:rsidR="00433A9D" w:rsidRPr="006B1347" w14:paraId="13FD43C2" w14:textId="77777777" w:rsidTr="00F17A6C">
        <w:trPr>
          <w:trHeight w:val="1841"/>
        </w:trPr>
        <w:tc>
          <w:tcPr>
            <w:tcW w:w="341" w:type="dxa"/>
            <w:vAlign w:val="center"/>
            <w:hideMark/>
          </w:tcPr>
          <w:p w14:paraId="237FD73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18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7A70523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420EDDC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4F5ECE0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03126E89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752733A4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Ocurre en los eventos de que trata el capítulo I del título VII de la Ley 599 de 2000 (Código penal), esto es cuando se producen daños a bienes ajenos y a terceros</w:t>
            </w:r>
          </w:p>
        </w:tc>
        <w:tc>
          <w:tcPr>
            <w:tcW w:w="2931" w:type="dxa"/>
            <w:vAlign w:val="center"/>
            <w:hideMark/>
          </w:tcPr>
          <w:p w14:paraId="7BF50B6B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Controversias administrativas o jurisdiccionales por reclamaciones que se lleven a cabo</w:t>
            </w:r>
          </w:p>
        </w:tc>
        <w:tc>
          <w:tcPr>
            <w:tcW w:w="563" w:type="dxa"/>
            <w:vAlign w:val="center"/>
            <w:hideMark/>
          </w:tcPr>
          <w:p w14:paraId="02C40DC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365108D2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5DCC3A5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8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7EE78C4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Extremo</w:t>
            </w:r>
          </w:p>
        </w:tc>
      </w:tr>
      <w:tr w:rsidR="00433A9D" w:rsidRPr="006B1347" w14:paraId="140E1307" w14:textId="77777777" w:rsidTr="00F17A6C">
        <w:trPr>
          <w:trHeight w:val="1563"/>
        </w:trPr>
        <w:tc>
          <w:tcPr>
            <w:tcW w:w="341" w:type="dxa"/>
            <w:vAlign w:val="center"/>
            <w:hideMark/>
          </w:tcPr>
          <w:p w14:paraId="761D135C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19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547C9ED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4BE77A72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0A51526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6CD36EA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06497EE0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Demoras en la obtención de permisos ambientales adicionales que causen atrasos en la ejecución de las obras</w:t>
            </w:r>
          </w:p>
          <w:p w14:paraId="4C95084E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0C6C6345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3528F3C2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7F1C1AF6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74434620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53E63614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2931" w:type="dxa"/>
            <w:vAlign w:val="center"/>
            <w:hideMark/>
          </w:tcPr>
          <w:p w14:paraId="41B5923B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Posibles retrasos del cronograma de obras</w:t>
            </w:r>
          </w:p>
        </w:tc>
        <w:tc>
          <w:tcPr>
            <w:tcW w:w="563" w:type="dxa"/>
            <w:vAlign w:val="center"/>
            <w:hideMark/>
          </w:tcPr>
          <w:p w14:paraId="6DB7A9A9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39F4BC7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445" w:type="dxa"/>
            <w:vAlign w:val="center"/>
            <w:hideMark/>
          </w:tcPr>
          <w:p w14:paraId="7CF0109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6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20B9D43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Alto</w:t>
            </w:r>
          </w:p>
        </w:tc>
      </w:tr>
      <w:tr w:rsidR="00433A9D" w:rsidRPr="006B1347" w14:paraId="6F0E826C" w14:textId="77777777" w:rsidTr="00F17A6C">
        <w:trPr>
          <w:trHeight w:val="1189"/>
        </w:trPr>
        <w:tc>
          <w:tcPr>
            <w:tcW w:w="341" w:type="dxa"/>
            <w:vAlign w:val="center"/>
            <w:hideMark/>
          </w:tcPr>
          <w:p w14:paraId="7AFCA1F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lastRenderedPageBreak/>
              <w:t>20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48DFA527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46CFAA3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27C148FC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3D19B8F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  <w:p w14:paraId="1ED90E1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3017" w:type="dxa"/>
            <w:vAlign w:val="center"/>
            <w:hideMark/>
          </w:tcPr>
          <w:p w14:paraId="07FEF4C2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Son los derivados de las condiciones técnicas o del proceso constructivo, que incrementen o disminuyan las cantidades necesarias para la ejecución de las obras</w:t>
            </w:r>
          </w:p>
          <w:p w14:paraId="5B006CE0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3A5DA245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2931" w:type="dxa"/>
            <w:vAlign w:val="center"/>
            <w:hideMark/>
          </w:tcPr>
          <w:p w14:paraId="35270330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Incremento en los costos de obra</w:t>
            </w:r>
          </w:p>
        </w:tc>
        <w:tc>
          <w:tcPr>
            <w:tcW w:w="563" w:type="dxa"/>
            <w:vAlign w:val="center"/>
            <w:hideMark/>
          </w:tcPr>
          <w:p w14:paraId="34B2254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314CCA4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69F96D3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8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20E0E71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Extremo</w:t>
            </w:r>
          </w:p>
        </w:tc>
      </w:tr>
      <w:tr w:rsidR="00433A9D" w:rsidRPr="006B1347" w14:paraId="43099629" w14:textId="77777777" w:rsidTr="00F17A6C">
        <w:trPr>
          <w:trHeight w:val="1455"/>
        </w:trPr>
        <w:tc>
          <w:tcPr>
            <w:tcW w:w="341" w:type="dxa"/>
            <w:vAlign w:val="center"/>
            <w:hideMark/>
          </w:tcPr>
          <w:p w14:paraId="1AAE48F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21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2B33175C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6213EB27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313122F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45182C5C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4B6AA734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Ocurre cuando un trabajador o cualquier tipo de persona vinculada a la obra, no ejecuta sus actividades conforme a los procesos constructivos y especificaciones, poniendo en riesgo la estabilidad y oportuna entrega de las obras</w:t>
            </w:r>
          </w:p>
        </w:tc>
        <w:tc>
          <w:tcPr>
            <w:tcW w:w="2931" w:type="dxa"/>
            <w:vAlign w:val="center"/>
            <w:hideMark/>
          </w:tcPr>
          <w:p w14:paraId="559D514D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Problemas de estabilidad y eficacia de las obras</w:t>
            </w:r>
          </w:p>
        </w:tc>
        <w:tc>
          <w:tcPr>
            <w:tcW w:w="563" w:type="dxa"/>
            <w:vAlign w:val="center"/>
            <w:hideMark/>
          </w:tcPr>
          <w:p w14:paraId="0F44E7E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6180E56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28ED768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8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38E84E1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Extremo</w:t>
            </w:r>
          </w:p>
        </w:tc>
      </w:tr>
      <w:tr w:rsidR="00433A9D" w:rsidRPr="006B1347" w14:paraId="527AA358" w14:textId="77777777" w:rsidTr="00F17A6C">
        <w:trPr>
          <w:trHeight w:val="1189"/>
        </w:trPr>
        <w:tc>
          <w:tcPr>
            <w:tcW w:w="341" w:type="dxa"/>
            <w:vAlign w:val="center"/>
            <w:hideMark/>
          </w:tcPr>
          <w:p w14:paraId="61D284C0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22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643B9C2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5DE18AC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309610F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0815CCA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4759760A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Son los efectos derivados de la falta de capacidad o eficiencia de los equipos utilizados para la ejecución de las obras, o la poca disponibilidad requerida para el cumplimiento del plazo contractual</w:t>
            </w:r>
          </w:p>
          <w:p w14:paraId="4E124722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2931" w:type="dxa"/>
            <w:vAlign w:val="center"/>
            <w:hideMark/>
          </w:tcPr>
          <w:p w14:paraId="2E3FB39A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Problemas de estabilidad y eficacia de las obras; y posibles retrasos en el cronograma de obras</w:t>
            </w:r>
          </w:p>
        </w:tc>
        <w:tc>
          <w:tcPr>
            <w:tcW w:w="563" w:type="dxa"/>
            <w:vAlign w:val="center"/>
            <w:hideMark/>
          </w:tcPr>
          <w:p w14:paraId="5CD9E30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2DE7535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1E751B9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8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0DB0CB79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Extremo</w:t>
            </w:r>
          </w:p>
        </w:tc>
      </w:tr>
      <w:tr w:rsidR="00433A9D" w:rsidRPr="006B1347" w14:paraId="7D549F43" w14:textId="77777777" w:rsidTr="00F17A6C">
        <w:trPr>
          <w:trHeight w:val="1549"/>
        </w:trPr>
        <w:tc>
          <w:tcPr>
            <w:tcW w:w="341" w:type="dxa"/>
            <w:vAlign w:val="center"/>
            <w:hideMark/>
          </w:tcPr>
          <w:p w14:paraId="45D93E43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23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3A365B4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5258321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1C8790C0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17C8E627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 Operacional </w:t>
            </w:r>
          </w:p>
        </w:tc>
        <w:tc>
          <w:tcPr>
            <w:tcW w:w="3017" w:type="dxa"/>
            <w:vAlign w:val="center"/>
            <w:hideMark/>
          </w:tcPr>
          <w:p w14:paraId="113215D3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Ocurre cuando se presentan inconsistencias en las secuencias o precedencias del programa, que puedan afectar la oportuna ejecución de la obra</w:t>
            </w:r>
          </w:p>
          <w:p w14:paraId="497C0735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362D6800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2931" w:type="dxa"/>
            <w:vAlign w:val="center"/>
            <w:hideMark/>
          </w:tcPr>
          <w:p w14:paraId="06FBA97C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Retraso en la ejecución de las obras</w:t>
            </w:r>
          </w:p>
        </w:tc>
        <w:tc>
          <w:tcPr>
            <w:tcW w:w="563" w:type="dxa"/>
            <w:vAlign w:val="center"/>
            <w:hideMark/>
          </w:tcPr>
          <w:p w14:paraId="7FA1B99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7A598A87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5824518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8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04599FD0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Extremo</w:t>
            </w:r>
          </w:p>
        </w:tc>
      </w:tr>
      <w:tr w:rsidR="00433A9D" w:rsidRPr="006B1347" w14:paraId="2A3D7C29" w14:textId="77777777" w:rsidTr="00F17A6C">
        <w:trPr>
          <w:trHeight w:val="2088"/>
        </w:trPr>
        <w:tc>
          <w:tcPr>
            <w:tcW w:w="341" w:type="dxa"/>
            <w:vAlign w:val="center"/>
            <w:hideMark/>
          </w:tcPr>
          <w:p w14:paraId="326ED017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24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6031DAD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Especifico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73A57E29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Interno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2EE5E81A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Selección y 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4505F500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Riesgos Regulatorios</w:t>
            </w:r>
          </w:p>
        </w:tc>
        <w:tc>
          <w:tcPr>
            <w:tcW w:w="3017" w:type="dxa"/>
            <w:vAlign w:val="center"/>
            <w:hideMark/>
          </w:tcPr>
          <w:p w14:paraId="1094ECC0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Expedición de nuevas normas, imposición de nuevos impuestos locales o nacionales</w:t>
            </w:r>
          </w:p>
        </w:tc>
        <w:tc>
          <w:tcPr>
            <w:tcW w:w="2931" w:type="dxa"/>
            <w:vAlign w:val="center"/>
            <w:hideMark/>
          </w:tcPr>
          <w:p w14:paraId="3C4B3CDE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Revisar las actualizaciones normativas acorde a los procesos adelantados para evitar extralimitaciones y actuaciones legales que retrasen la ejecución de la obra</w:t>
            </w:r>
          </w:p>
        </w:tc>
        <w:tc>
          <w:tcPr>
            <w:tcW w:w="563" w:type="dxa"/>
            <w:vAlign w:val="center"/>
            <w:hideMark/>
          </w:tcPr>
          <w:p w14:paraId="2D6AF68D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1</w:t>
            </w:r>
          </w:p>
        </w:tc>
        <w:tc>
          <w:tcPr>
            <w:tcW w:w="563" w:type="dxa"/>
            <w:vAlign w:val="center"/>
            <w:hideMark/>
          </w:tcPr>
          <w:p w14:paraId="7B815A42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445" w:type="dxa"/>
            <w:vAlign w:val="center"/>
            <w:hideMark/>
          </w:tcPr>
          <w:p w14:paraId="2C708A6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4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747AE8AF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Bajo</w:t>
            </w:r>
          </w:p>
        </w:tc>
      </w:tr>
      <w:tr w:rsidR="00433A9D" w:rsidRPr="006B1347" w14:paraId="5A610A9F" w14:textId="77777777" w:rsidTr="00F17A6C">
        <w:trPr>
          <w:trHeight w:val="2083"/>
        </w:trPr>
        <w:tc>
          <w:tcPr>
            <w:tcW w:w="341" w:type="dxa"/>
            <w:vAlign w:val="center"/>
            <w:hideMark/>
          </w:tcPr>
          <w:p w14:paraId="13D0EAA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25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50C75752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0A6DBD4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2F033A7D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Contratación y 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29E7A44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Riesgos de la naturaleza</w:t>
            </w:r>
          </w:p>
        </w:tc>
        <w:tc>
          <w:tcPr>
            <w:tcW w:w="3017" w:type="dxa"/>
            <w:vAlign w:val="center"/>
            <w:hideMark/>
          </w:tcPr>
          <w:p w14:paraId="36951919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Eventos naturales: terremotos, inundaciones, descargas eléctricas, deslizamientos, incendios</w:t>
            </w:r>
          </w:p>
        </w:tc>
        <w:tc>
          <w:tcPr>
            <w:tcW w:w="2931" w:type="dxa"/>
            <w:vAlign w:val="center"/>
            <w:hideMark/>
          </w:tcPr>
          <w:p w14:paraId="10F09280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Afiliación SGSS y Amparo Responsabilidad civil </w:t>
            </w:r>
          </w:p>
        </w:tc>
        <w:tc>
          <w:tcPr>
            <w:tcW w:w="563" w:type="dxa"/>
            <w:vAlign w:val="center"/>
            <w:hideMark/>
          </w:tcPr>
          <w:p w14:paraId="7830F7BD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099CF33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445" w:type="dxa"/>
            <w:vAlign w:val="center"/>
            <w:hideMark/>
          </w:tcPr>
          <w:p w14:paraId="652A5712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6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245B373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Alto</w:t>
            </w:r>
          </w:p>
        </w:tc>
      </w:tr>
      <w:tr w:rsidR="00433A9D" w:rsidRPr="006B1347" w14:paraId="01FCA101" w14:textId="77777777" w:rsidTr="00F17A6C">
        <w:trPr>
          <w:trHeight w:val="3788"/>
        </w:trPr>
        <w:tc>
          <w:tcPr>
            <w:tcW w:w="341" w:type="dxa"/>
            <w:vAlign w:val="center"/>
            <w:hideMark/>
          </w:tcPr>
          <w:p w14:paraId="57E15BF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lastRenderedPageBreak/>
              <w:t>26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7B91E346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  <w:hideMark/>
          </w:tcPr>
          <w:p w14:paraId="26C8FEC0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  <w:hideMark/>
          </w:tcPr>
          <w:p w14:paraId="07E1CB1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Planeación, Selección, Contratación y Ejecución</w:t>
            </w:r>
          </w:p>
        </w:tc>
        <w:tc>
          <w:tcPr>
            <w:tcW w:w="449" w:type="dxa"/>
            <w:textDirection w:val="btLr"/>
            <w:vAlign w:val="center"/>
            <w:hideMark/>
          </w:tcPr>
          <w:p w14:paraId="7C38114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 xml:space="preserve">Riesgos Tecnológicos </w:t>
            </w:r>
          </w:p>
        </w:tc>
        <w:tc>
          <w:tcPr>
            <w:tcW w:w="3017" w:type="dxa"/>
            <w:vAlign w:val="center"/>
            <w:hideMark/>
          </w:tcPr>
          <w:p w14:paraId="0DFCDE24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Fallas en las telecomunicaciones, o en los soportes de información y obsolescencia tecnológica</w:t>
            </w:r>
          </w:p>
        </w:tc>
        <w:tc>
          <w:tcPr>
            <w:tcW w:w="2931" w:type="dxa"/>
            <w:vAlign w:val="center"/>
            <w:hideMark/>
          </w:tcPr>
          <w:p w14:paraId="38E2C7D9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Revisión, ajuste y seguimiento en las diferentes etapas contractuales de las metodologías de almacenamiento y comunicación de la información.</w:t>
            </w:r>
          </w:p>
          <w:p w14:paraId="6F198F38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42984ACF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677ABD97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6AC83440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1D8978C2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3DEA678B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64931AC2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7A766774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  <w:p w14:paraId="2B6BCB52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563" w:type="dxa"/>
            <w:vAlign w:val="center"/>
            <w:hideMark/>
          </w:tcPr>
          <w:p w14:paraId="6163DE2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3</w:t>
            </w:r>
          </w:p>
        </w:tc>
        <w:tc>
          <w:tcPr>
            <w:tcW w:w="563" w:type="dxa"/>
            <w:vAlign w:val="center"/>
            <w:hideMark/>
          </w:tcPr>
          <w:p w14:paraId="4F4D93EB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5</w:t>
            </w:r>
          </w:p>
        </w:tc>
        <w:tc>
          <w:tcPr>
            <w:tcW w:w="445" w:type="dxa"/>
            <w:vAlign w:val="center"/>
            <w:hideMark/>
          </w:tcPr>
          <w:p w14:paraId="6E3088D7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8</w:t>
            </w:r>
          </w:p>
        </w:tc>
        <w:tc>
          <w:tcPr>
            <w:tcW w:w="563" w:type="dxa"/>
            <w:textDirection w:val="btLr"/>
            <w:vAlign w:val="center"/>
            <w:hideMark/>
          </w:tcPr>
          <w:p w14:paraId="56FEA494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 Extremo</w:t>
            </w:r>
          </w:p>
        </w:tc>
      </w:tr>
      <w:tr w:rsidR="00433A9D" w:rsidRPr="006B1347" w14:paraId="6781CC1E" w14:textId="77777777" w:rsidTr="00F17A6C">
        <w:trPr>
          <w:trHeight w:val="1687"/>
        </w:trPr>
        <w:tc>
          <w:tcPr>
            <w:tcW w:w="341" w:type="dxa"/>
            <w:vAlign w:val="center"/>
          </w:tcPr>
          <w:p w14:paraId="1E0D569A" w14:textId="5D1E2273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27</w:t>
            </w:r>
          </w:p>
        </w:tc>
        <w:tc>
          <w:tcPr>
            <w:tcW w:w="445" w:type="dxa"/>
            <w:textDirection w:val="btLr"/>
            <w:vAlign w:val="center"/>
          </w:tcPr>
          <w:p w14:paraId="00C00E91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General</w:t>
            </w:r>
          </w:p>
        </w:tc>
        <w:tc>
          <w:tcPr>
            <w:tcW w:w="445" w:type="dxa"/>
            <w:textDirection w:val="btLr"/>
            <w:vAlign w:val="center"/>
          </w:tcPr>
          <w:p w14:paraId="62FB8220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Externo</w:t>
            </w:r>
          </w:p>
        </w:tc>
        <w:tc>
          <w:tcPr>
            <w:tcW w:w="461" w:type="dxa"/>
            <w:textDirection w:val="btLr"/>
            <w:vAlign w:val="center"/>
          </w:tcPr>
          <w:p w14:paraId="65BC0155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Ejecución</w:t>
            </w:r>
          </w:p>
        </w:tc>
        <w:tc>
          <w:tcPr>
            <w:tcW w:w="449" w:type="dxa"/>
            <w:textDirection w:val="btLr"/>
            <w:vAlign w:val="center"/>
          </w:tcPr>
          <w:p w14:paraId="788BFAE8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6B1347">
              <w:rPr>
                <w:rFonts w:ascii="Arial Narrow" w:hAnsi="Arial Narrow" w:cs="Arial"/>
                <w:color w:val="000000"/>
                <w:lang w:eastAsia="es-CO"/>
              </w:rPr>
              <w:t>Riesgos Ambiental</w:t>
            </w:r>
          </w:p>
        </w:tc>
        <w:tc>
          <w:tcPr>
            <w:tcW w:w="3017" w:type="dxa"/>
            <w:vAlign w:val="center"/>
          </w:tcPr>
          <w:p w14:paraId="2D259F1A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0324D2">
              <w:rPr>
                <w:rFonts w:ascii="Arial Narrow" w:hAnsi="Arial Narrow" w:cs="Arial"/>
                <w:color w:val="000000"/>
                <w:lang w:eastAsia="es-CO"/>
              </w:rPr>
              <w:t>Faltas en el manejo socio-ambiental de las obras:</w:t>
            </w: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 (</w:t>
            </w:r>
            <w:r w:rsidRPr="000324D2">
              <w:rPr>
                <w:rFonts w:ascii="Arial Narrow" w:hAnsi="Arial Narrow" w:cs="Arial"/>
                <w:color w:val="000000"/>
                <w:lang w:eastAsia="es-CO"/>
              </w:rPr>
              <w:t xml:space="preserve">Es la afectación a los residentes contiguos a las zonas de trabajo, relacionados con movilidad, ruido, disposición de residuos, </w:t>
            </w:r>
            <w:proofErr w:type="spellStart"/>
            <w:r w:rsidRPr="000324D2">
              <w:rPr>
                <w:rFonts w:ascii="Arial Narrow" w:hAnsi="Arial Narrow" w:cs="Arial"/>
                <w:color w:val="000000"/>
                <w:lang w:eastAsia="es-CO"/>
              </w:rPr>
              <w:t>etc</w:t>
            </w:r>
            <w:proofErr w:type="spellEnd"/>
            <w:r>
              <w:rPr>
                <w:rFonts w:ascii="Arial Narrow" w:hAnsi="Arial Narrow" w:cs="Arial"/>
                <w:color w:val="000000"/>
                <w:lang w:eastAsia="es-CO"/>
              </w:rPr>
              <w:t>)</w:t>
            </w:r>
            <w:r w:rsidRPr="000324D2">
              <w:rPr>
                <w:rFonts w:ascii="Arial Narrow" w:hAnsi="Arial Narrow" w:cs="Arial"/>
                <w:color w:val="000000"/>
                <w:lang w:eastAsia="es-CO"/>
              </w:rPr>
              <w:t>.</w:t>
            </w:r>
          </w:p>
        </w:tc>
        <w:tc>
          <w:tcPr>
            <w:tcW w:w="2931" w:type="dxa"/>
            <w:vAlign w:val="center"/>
          </w:tcPr>
          <w:p w14:paraId="175575D9" w14:textId="77777777" w:rsidR="00433A9D" w:rsidRPr="006B1347" w:rsidRDefault="00433A9D" w:rsidP="00F17A6C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0324D2">
              <w:rPr>
                <w:rFonts w:ascii="Arial Narrow" w:hAnsi="Arial Narrow" w:cs="Arial"/>
                <w:color w:val="000000"/>
                <w:lang w:eastAsia="es-CO"/>
              </w:rPr>
              <w:t>Inconformidad con la obra por parte de la comunidad y generación de retrasos en la entrega de la obra</w:t>
            </w:r>
          </w:p>
        </w:tc>
        <w:tc>
          <w:tcPr>
            <w:tcW w:w="563" w:type="dxa"/>
            <w:vAlign w:val="center"/>
          </w:tcPr>
          <w:p w14:paraId="4496D1A9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1</w:t>
            </w:r>
          </w:p>
        </w:tc>
        <w:tc>
          <w:tcPr>
            <w:tcW w:w="563" w:type="dxa"/>
            <w:vAlign w:val="center"/>
          </w:tcPr>
          <w:p w14:paraId="68F61357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1</w:t>
            </w:r>
          </w:p>
        </w:tc>
        <w:tc>
          <w:tcPr>
            <w:tcW w:w="445" w:type="dxa"/>
            <w:vAlign w:val="center"/>
          </w:tcPr>
          <w:p w14:paraId="4350CD5E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2</w:t>
            </w:r>
          </w:p>
        </w:tc>
        <w:tc>
          <w:tcPr>
            <w:tcW w:w="563" w:type="dxa"/>
            <w:textDirection w:val="btLr"/>
            <w:vAlign w:val="center"/>
          </w:tcPr>
          <w:p w14:paraId="0DE3640C" w14:textId="77777777" w:rsidR="00433A9D" w:rsidRPr="006B1347" w:rsidRDefault="00433A9D" w:rsidP="00F17A6C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  <w:r w:rsidRPr="000324D2">
              <w:rPr>
                <w:rFonts w:ascii="Arial Narrow" w:hAnsi="Arial Narrow" w:cs="Arial"/>
                <w:color w:val="000000"/>
                <w:lang w:eastAsia="es-CO"/>
              </w:rPr>
              <w:t>Riesgo Bajo</w:t>
            </w:r>
          </w:p>
        </w:tc>
      </w:tr>
    </w:tbl>
    <w:p w14:paraId="74770F23" w14:textId="77777777" w:rsidR="00815604" w:rsidRPr="006F6287" w:rsidRDefault="00815604" w:rsidP="00433A9D">
      <w:pPr>
        <w:spacing w:after="100" w:afterAutospacing="1"/>
        <w:rPr>
          <w:rFonts w:ascii="Verdana" w:eastAsia="SimSun" w:hAnsi="Verdana" w:cs="Arial"/>
          <w:kern w:val="3"/>
          <w:sz w:val="20"/>
          <w:szCs w:val="20"/>
          <w:lang w:eastAsia="zh-CN" w:bidi="hi-IN"/>
        </w:rPr>
      </w:pPr>
    </w:p>
    <w:p w14:paraId="168C9C57" w14:textId="77777777" w:rsidR="00D70D7B" w:rsidRPr="006F6287" w:rsidRDefault="00D70D7B" w:rsidP="00D70D7B">
      <w:pPr>
        <w:spacing w:after="100" w:afterAutospacing="1"/>
        <w:rPr>
          <w:rFonts w:ascii="Verdana" w:eastAsia="SimSun" w:hAnsi="Verdana" w:cs="Arial"/>
          <w:kern w:val="3"/>
          <w:sz w:val="20"/>
          <w:szCs w:val="20"/>
          <w:lang w:eastAsia="zh-CN" w:bidi="hi-IN"/>
        </w:rPr>
      </w:pPr>
    </w:p>
    <w:sectPr w:rsidR="00D70D7B" w:rsidRPr="006F6287" w:rsidSect="004B02DA">
      <w:headerReference w:type="default" r:id="rId11"/>
      <w:footerReference w:type="default" r:id="rId12"/>
      <w:pgSz w:w="12240" w:h="15840" w:code="1"/>
      <w:pgMar w:top="1134" w:right="1134" w:bottom="1134" w:left="1304" w:header="426" w:footer="544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D1388" w14:textId="77777777" w:rsidR="0092102C" w:rsidRDefault="0092102C" w:rsidP="00091875">
      <w:pPr>
        <w:spacing w:line="240" w:lineRule="auto"/>
      </w:pPr>
      <w:r>
        <w:separator/>
      </w:r>
    </w:p>
  </w:endnote>
  <w:endnote w:type="continuationSeparator" w:id="0">
    <w:p w14:paraId="3A15F394" w14:textId="77777777" w:rsidR="0092102C" w:rsidRDefault="0092102C" w:rsidP="00091875">
      <w:pPr>
        <w:spacing w:line="240" w:lineRule="auto"/>
      </w:pPr>
      <w:r>
        <w:continuationSeparator/>
      </w:r>
    </w:p>
  </w:endnote>
  <w:endnote w:type="continuationNotice" w:id="1">
    <w:p w14:paraId="472B5ABD" w14:textId="77777777" w:rsidR="0092102C" w:rsidRDefault="009210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671562"/>
      <w:docPartObj>
        <w:docPartGallery w:val="Page Numbers (Bottom of Page)"/>
        <w:docPartUnique/>
      </w:docPartObj>
    </w:sdtPr>
    <w:sdtContent>
      <w:p w14:paraId="21ED77E0" w14:textId="09C22CD5" w:rsidR="00091875" w:rsidRPr="0034606D" w:rsidRDefault="0034606D" w:rsidP="0034606D">
        <w:pPr>
          <w:widowControl w:val="0"/>
          <w:autoSpaceDE w:val="0"/>
          <w:autoSpaceDN w:val="0"/>
          <w:adjustRightInd w:val="0"/>
          <w:spacing w:line="265" w:lineRule="exact"/>
          <w:ind w:left="-18" w:right="-38"/>
          <w:jc w:val="right"/>
          <w:rPr>
            <w:rFonts w:ascii="Verdana" w:hAnsi="Verdana" w:cs="Arial"/>
            <w:color w:val="000000" w:themeColor="text1"/>
            <w:sz w:val="18"/>
            <w:szCs w:val="20"/>
          </w:rPr>
        </w:pPr>
        <w:r w:rsidRPr="00404F33">
          <w:rPr>
            <w:rFonts w:ascii="Verdana" w:hAnsi="Verdana" w:cs="Arial"/>
            <w:color w:val="000000" w:themeColor="text1"/>
            <w:sz w:val="18"/>
            <w:szCs w:val="20"/>
          </w:rPr>
          <w:t>Versión</w:t>
        </w:r>
        <w:r>
          <w:rPr>
            <w:rFonts w:ascii="Verdana" w:hAnsi="Verdana" w:cs="Arial"/>
            <w:color w:val="000000" w:themeColor="text1"/>
            <w:sz w:val="18"/>
            <w:szCs w:val="20"/>
          </w:rPr>
          <w:t>:</w:t>
        </w:r>
        <w:r w:rsidRPr="00404F33">
          <w:rPr>
            <w:rFonts w:ascii="Verdana" w:hAnsi="Verdana" w:cs="Arial"/>
            <w:color w:val="000000" w:themeColor="text1"/>
            <w:sz w:val="18"/>
            <w:szCs w:val="20"/>
          </w:rPr>
          <w:t xml:space="preserve"> </w:t>
        </w:r>
        <w:r w:rsidRPr="005C5895">
          <w:rPr>
            <w:rFonts w:ascii="Verdana" w:hAnsi="Verdana" w:cs="Arial"/>
            <w:color w:val="000000" w:themeColor="text1"/>
            <w:sz w:val="18"/>
            <w:szCs w:val="20"/>
          </w:rPr>
          <w:t xml:space="preserve">2 del </w:t>
        </w:r>
        <w:r w:rsidR="00C91E2C">
          <w:rPr>
            <w:rFonts w:ascii="Verdana" w:hAnsi="Verdana" w:cs="Arial"/>
            <w:color w:val="000000" w:themeColor="text1"/>
            <w:sz w:val="18"/>
            <w:szCs w:val="20"/>
          </w:rPr>
          <w:t>21</w:t>
        </w:r>
        <w:r w:rsidRPr="005C5895">
          <w:rPr>
            <w:rFonts w:ascii="Verdana" w:hAnsi="Verdana" w:cs="Arial"/>
            <w:color w:val="000000" w:themeColor="text1"/>
            <w:sz w:val="18"/>
            <w:szCs w:val="20"/>
          </w:rPr>
          <w:t xml:space="preserve"> de </w:t>
        </w:r>
        <w:r w:rsidR="00C91E2C">
          <w:rPr>
            <w:rFonts w:ascii="Verdana" w:hAnsi="Verdana" w:cs="Arial"/>
            <w:color w:val="000000" w:themeColor="text1"/>
            <w:sz w:val="18"/>
            <w:szCs w:val="20"/>
          </w:rPr>
          <w:t>agosto</w:t>
        </w:r>
        <w:r w:rsidRPr="005C5895">
          <w:rPr>
            <w:rFonts w:ascii="Verdana" w:hAnsi="Verdana" w:cs="Arial"/>
            <w:color w:val="000000" w:themeColor="text1"/>
            <w:sz w:val="18"/>
            <w:szCs w:val="20"/>
          </w:rPr>
          <w:t xml:space="preserve"> de 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C3767" w14:textId="77777777" w:rsidR="0092102C" w:rsidRDefault="0092102C" w:rsidP="00091875">
      <w:pPr>
        <w:spacing w:line="240" w:lineRule="auto"/>
      </w:pPr>
      <w:r>
        <w:separator/>
      </w:r>
    </w:p>
  </w:footnote>
  <w:footnote w:type="continuationSeparator" w:id="0">
    <w:p w14:paraId="3F879D61" w14:textId="77777777" w:rsidR="0092102C" w:rsidRDefault="0092102C" w:rsidP="00091875">
      <w:pPr>
        <w:spacing w:line="240" w:lineRule="auto"/>
      </w:pPr>
      <w:r>
        <w:continuationSeparator/>
      </w:r>
    </w:p>
  </w:footnote>
  <w:footnote w:type="continuationNotice" w:id="1">
    <w:p w14:paraId="27D8CFC9" w14:textId="77777777" w:rsidR="0092102C" w:rsidRDefault="009210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8461" w14:textId="0131BE20" w:rsidR="000E5886" w:rsidRPr="000E5886" w:rsidRDefault="000E5886" w:rsidP="000E5886">
    <w:pPr>
      <w:pStyle w:val="Encabezado"/>
      <w:jc w:val="center"/>
      <w:rPr>
        <w:rFonts w:ascii="Verdana" w:hAnsi="Verdana" w:cs="Arial"/>
        <w:b/>
        <w:bCs/>
      </w:rPr>
    </w:pPr>
    <w:r w:rsidRPr="000E5886">
      <w:rPr>
        <w:rFonts w:ascii="Verdana" w:hAnsi="Verdana" w:cs="Arial"/>
        <w:b/>
        <w:bCs/>
      </w:rPr>
      <w:t>MATRIZ 3 - RIESGOS</w:t>
    </w:r>
  </w:p>
  <w:p w14:paraId="7BA6AB75" w14:textId="6C79689C" w:rsidR="00D5252D" w:rsidRPr="000E5886" w:rsidRDefault="000E5886" w:rsidP="000E5886">
    <w:pPr>
      <w:pStyle w:val="Encabezado"/>
      <w:tabs>
        <w:tab w:val="clear" w:pos="4419"/>
        <w:tab w:val="clear" w:pos="8838"/>
        <w:tab w:val="left" w:pos="3405"/>
      </w:tabs>
      <w:jc w:val="center"/>
      <w:rPr>
        <w:rFonts w:ascii="Verdana" w:hAnsi="Verdana"/>
        <w:sz w:val="32"/>
        <w:szCs w:val="32"/>
      </w:rPr>
    </w:pPr>
    <w:r w:rsidRPr="000E5886">
      <w:rPr>
        <w:rFonts w:ascii="Verdana" w:hAnsi="Verdana" w:cs="Arial"/>
        <w:b/>
      </w:rPr>
      <w:t>LICITACIÓN DE OBRA PÚBLICA DE INFRAESTRUCTURA SOCIAL</w:t>
    </w:r>
  </w:p>
  <w:p w14:paraId="650FC3D2" w14:textId="4E826698" w:rsidR="38A4A234" w:rsidRDefault="38A4A234" w:rsidP="00CF7B39">
    <w:pPr>
      <w:pStyle w:val="Encabezado"/>
      <w:tabs>
        <w:tab w:val="clear" w:pos="4419"/>
        <w:tab w:val="clear" w:pos="8838"/>
        <w:tab w:val="left" w:pos="34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60083840">
    <w:abstractNumId w:val="6"/>
  </w:num>
  <w:num w:numId="2" w16cid:durableId="1788037104">
    <w:abstractNumId w:val="6"/>
  </w:num>
  <w:num w:numId="3" w16cid:durableId="1503088132">
    <w:abstractNumId w:val="6"/>
  </w:num>
  <w:num w:numId="4" w16cid:durableId="1458990957">
    <w:abstractNumId w:val="6"/>
  </w:num>
  <w:num w:numId="5" w16cid:durableId="1856648672">
    <w:abstractNumId w:val="6"/>
  </w:num>
  <w:num w:numId="6" w16cid:durableId="297995723">
    <w:abstractNumId w:val="6"/>
  </w:num>
  <w:num w:numId="7" w16cid:durableId="661740403">
    <w:abstractNumId w:val="6"/>
  </w:num>
  <w:num w:numId="8" w16cid:durableId="12190007">
    <w:abstractNumId w:val="6"/>
  </w:num>
  <w:num w:numId="9" w16cid:durableId="1747800673">
    <w:abstractNumId w:val="6"/>
  </w:num>
  <w:num w:numId="10" w16cid:durableId="900946411">
    <w:abstractNumId w:val="3"/>
  </w:num>
  <w:num w:numId="11" w16cid:durableId="2043705440">
    <w:abstractNumId w:val="1"/>
  </w:num>
  <w:num w:numId="12" w16cid:durableId="295725389">
    <w:abstractNumId w:val="21"/>
  </w:num>
  <w:num w:numId="13" w16cid:durableId="1244609716">
    <w:abstractNumId w:val="29"/>
  </w:num>
  <w:num w:numId="14" w16cid:durableId="1424110412">
    <w:abstractNumId w:val="14"/>
  </w:num>
  <w:num w:numId="15" w16cid:durableId="1754280683">
    <w:abstractNumId w:val="16"/>
  </w:num>
  <w:num w:numId="16" w16cid:durableId="606474157">
    <w:abstractNumId w:val="0"/>
  </w:num>
  <w:num w:numId="17" w16cid:durableId="2050912040">
    <w:abstractNumId w:val="2"/>
  </w:num>
  <w:num w:numId="18" w16cid:durableId="572394301">
    <w:abstractNumId w:val="9"/>
  </w:num>
  <w:num w:numId="19" w16cid:durableId="1959794271">
    <w:abstractNumId w:val="4"/>
  </w:num>
  <w:num w:numId="20" w16cid:durableId="1299725727">
    <w:abstractNumId w:val="18"/>
  </w:num>
  <w:num w:numId="21" w16cid:durableId="546069644">
    <w:abstractNumId w:val="7"/>
  </w:num>
  <w:num w:numId="22" w16cid:durableId="720205241">
    <w:abstractNumId w:val="27"/>
  </w:num>
  <w:num w:numId="23" w16cid:durableId="390006899">
    <w:abstractNumId w:val="11"/>
  </w:num>
  <w:num w:numId="24" w16cid:durableId="1014652433">
    <w:abstractNumId w:val="12"/>
  </w:num>
  <w:num w:numId="25" w16cid:durableId="1236628906">
    <w:abstractNumId w:val="5"/>
  </w:num>
  <w:num w:numId="26" w16cid:durableId="2127002795">
    <w:abstractNumId w:val="17"/>
  </w:num>
  <w:num w:numId="27" w16cid:durableId="878057415">
    <w:abstractNumId w:val="15"/>
  </w:num>
  <w:num w:numId="28" w16cid:durableId="1469938064">
    <w:abstractNumId w:val="10"/>
  </w:num>
  <w:num w:numId="29" w16cid:durableId="977496562">
    <w:abstractNumId w:val="25"/>
  </w:num>
  <w:num w:numId="30" w16cid:durableId="391083450">
    <w:abstractNumId w:val="26"/>
  </w:num>
  <w:num w:numId="31" w16cid:durableId="1286890422">
    <w:abstractNumId w:val="24"/>
  </w:num>
  <w:num w:numId="32" w16cid:durableId="552160474">
    <w:abstractNumId w:val="13"/>
  </w:num>
  <w:num w:numId="33" w16cid:durableId="1837919002">
    <w:abstractNumId w:val="23"/>
  </w:num>
  <w:num w:numId="34" w16cid:durableId="1254783922">
    <w:abstractNumId w:val="8"/>
  </w:num>
  <w:num w:numId="35" w16cid:durableId="1063522610">
    <w:abstractNumId w:val="22"/>
  </w:num>
  <w:num w:numId="36" w16cid:durableId="1229146508">
    <w:abstractNumId w:val="28"/>
  </w:num>
  <w:num w:numId="37" w16cid:durableId="1851751782">
    <w:abstractNumId w:val="20"/>
  </w:num>
  <w:num w:numId="38" w16cid:durableId="16914893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33F45"/>
    <w:rsid w:val="00046B56"/>
    <w:rsid w:val="00091875"/>
    <w:rsid w:val="00097BB5"/>
    <w:rsid w:val="000A0BB9"/>
    <w:rsid w:val="000A2F3B"/>
    <w:rsid w:val="000C2AAE"/>
    <w:rsid w:val="000E204D"/>
    <w:rsid w:val="000E5886"/>
    <w:rsid w:val="00101037"/>
    <w:rsid w:val="00103B17"/>
    <w:rsid w:val="00106362"/>
    <w:rsid w:val="00112670"/>
    <w:rsid w:val="001246B3"/>
    <w:rsid w:val="00136C78"/>
    <w:rsid w:val="00145102"/>
    <w:rsid w:val="001477DE"/>
    <w:rsid w:val="0015658C"/>
    <w:rsid w:val="0015719E"/>
    <w:rsid w:val="00181D80"/>
    <w:rsid w:val="00190D93"/>
    <w:rsid w:val="001D1F23"/>
    <w:rsid w:val="001E7630"/>
    <w:rsid w:val="00270401"/>
    <w:rsid w:val="00277255"/>
    <w:rsid w:val="002A4F63"/>
    <w:rsid w:val="002C15DB"/>
    <w:rsid w:val="002C7E01"/>
    <w:rsid w:val="002D1AFB"/>
    <w:rsid w:val="0032129A"/>
    <w:rsid w:val="00326ACA"/>
    <w:rsid w:val="003322F8"/>
    <w:rsid w:val="0034606D"/>
    <w:rsid w:val="003516E6"/>
    <w:rsid w:val="0035415F"/>
    <w:rsid w:val="0035522B"/>
    <w:rsid w:val="003558EC"/>
    <w:rsid w:val="003674A4"/>
    <w:rsid w:val="00374B32"/>
    <w:rsid w:val="00375454"/>
    <w:rsid w:val="0039239D"/>
    <w:rsid w:val="003B7338"/>
    <w:rsid w:val="003E0614"/>
    <w:rsid w:val="003E331F"/>
    <w:rsid w:val="003E4428"/>
    <w:rsid w:val="003E6D71"/>
    <w:rsid w:val="003F50E3"/>
    <w:rsid w:val="00405EC2"/>
    <w:rsid w:val="004338C5"/>
    <w:rsid w:val="00433A9D"/>
    <w:rsid w:val="00462D6F"/>
    <w:rsid w:val="004A089E"/>
    <w:rsid w:val="004B02DA"/>
    <w:rsid w:val="004C3913"/>
    <w:rsid w:val="004D7C35"/>
    <w:rsid w:val="004E3B5C"/>
    <w:rsid w:val="004E5054"/>
    <w:rsid w:val="004F2908"/>
    <w:rsid w:val="004F5C6F"/>
    <w:rsid w:val="00507FAA"/>
    <w:rsid w:val="00511F46"/>
    <w:rsid w:val="00513343"/>
    <w:rsid w:val="00513E75"/>
    <w:rsid w:val="00540CF2"/>
    <w:rsid w:val="00545461"/>
    <w:rsid w:val="00574071"/>
    <w:rsid w:val="005752CE"/>
    <w:rsid w:val="0058222E"/>
    <w:rsid w:val="00590DD8"/>
    <w:rsid w:val="005960B2"/>
    <w:rsid w:val="005E5030"/>
    <w:rsid w:val="00686C25"/>
    <w:rsid w:val="006A3288"/>
    <w:rsid w:val="006B01B2"/>
    <w:rsid w:val="006B4FEE"/>
    <w:rsid w:val="006C3AC4"/>
    <w:rsid w:val="006E6D9B"/>
    <w:rsid w:val="006F6287"/>
    <w:rsid w:val="007115DA"/>
    <w:rsid w:val="00721886"/>
    <w:rsid w:val="00762556"/>
    <w:rsid w:val="007633A4"/>
    <w:rsid w:val="0076567A"/>
    <w:rsid w:val="00770FF9"/>
    <w:rsid w:val="00772290"/>
    <w:rsid w:val="0077727E"/>
    <w:rsid w:val="007B33E6"/>
    <w:rsid w:val="007C04E2"/>
    <w:rsid w:val="007C5B18"/>
    <w:rsid w:val="007C702A"/>
    <w:rsid w:val="007E1A1D"/>
    <w:rsid w:val="00805ECB"/>
    <w:rsid w:val="00815604"/>
    <w:rsid w:val="00833F3B"/>
    <w:rsid w:val="00841B5A"/>
    <w:rsid w:val="008532C2"/>
    <w:rsid w:val="008537E3"/>
    <w:rsid w:val="0085653A"/>
    <w:rsid w:val="0085672F"/>
    <w:rsid w:val="008700A4"/>
    <w:rsid w:val="00874392"/>
    <w:rsid w:val="00885039"/>
    <w:rsid w:val="008C3AE4"/>
    <w:rsid w:val="008C48D9"/>
    <w:rsid w:val="008E39CA"/>
    <w:rsid w:val="008F49F3"/>
    <w:rsid w:val="0092102C"/>
    <w:rsid w:val="009321E7"/>
    <w:rsid w:val="00933972"/>
    <w:rsid w:val="00937CF9"/>
    <w:rsid w:val="0095009A"/>
    <w:rsid w:val="009771DE"/>
    <w:rsid w:val="009771F1"/>
    <w:rsid w:val="009C4E02"/>
    <w:rsid w:val="009E77AD"/>
    <w:rsid w:val="009F3A90"/>
    <w:rsid w:val="00A03920"/>
    <w:rsid w:val="00A1437D"/>
    <w:rsid w:val="00A232B7"/>
    <w:rsid w:val="00A33A30"/>
    <w:rsid w:val="00A411F2"/>
    <w:rsid w:val="00A4259F"/>
    <w:rsid w:val="00A802EF"/>
    <w:rsid w:val="00A84EAD"/>
    <w:rsid w:val="00A85E3E"/>
    <w:rsid w:val="00A9107A"/>
    <w:rsid w:val="00A92454"/>
    <w:rsid w:val="00A97889"/>
    <w:rsid w:val="00AB5F8B"/>
    <w:rsid w:val="00AE2ECB"/>
    <w:rsid w:val="00B26BD8"/>
    <w:rsid w:val="00B26E25"/>
    <w:rsid w:val="00B60C9E"/>
    <w:rsid w:val="00B74FD2"/>
    <w:rsid w:val="00B76DAD"/>
    <w:rsid w:val="00B773A4"/>
    <w:rsid w:val="00B81B1F"/>
    <w:rsid w:val="00B83621"/>
    <w:rsid w:val="00B91C28"/>
    <w:rsid w:val="00B92158"/>
    <w:rsid w:val="00B94790"/>
    <w:rsid w:val="00B9797D"/>
    <w:rsid w:val="00BA3870"/>
    <w:rsid w:val="00BC48AE"/>
    <w:rsid w:val="00BE0B22"/>
    <w:rsid w:val="00BE515D"/>
    <w:rsid w:val="00BF3A5C"/>
    <w:rsid w:val="00C11E71"/>
    <w:rsid w:val="00C36B0B"/>
    <w:rsid w:val="00C41C6F"/>
    <w:rsid w:val="00C53FEB"/>
    <w:rsid w:val="00C61BDB"/>
    <w:rsid w:val="00C71F76"/>
    <w:rsid w:val="00C91E2C"/>
    <w:rsid w:val="00C940AA"/>
    <w:rsid w:val="00C954B1"/>
    <w:rsid w:val="00CB6E87"/>
    <w:rsid w:val="00CB7D17"/>
    <w:rsid w:val="00CC0987"/>
    <w:rsid w:val="00CD4E92"/>
    <w:rsid w:val="00CF543A"/>
    <w:rsid w:val="00CF7B39"/>
    <w:rsid w:val="00D13765"/>
    <w:rsid w:val="00D5252D"/>
    <w:rsid w:val="00D66122"/>
    <w:rsid w:val="00D70D7B"/>
    <w:rsid w:val="00D802B8"/>
    <w:rsid w:val="00D86ECC"/>
    <w:rsid w:val="00D94F73"/>
    <w:rsid w:val="00DA2321"/>
    <w:rsid w:val="00DD4300"/>
    <w:rsid w:val="00DF421A"/>
    <w:rsid w:val="00E52F4D"/>
    <w:rsid w:val="00E56873"/>
    <w:rsid w:val="00E734B0"/>
    <w:rsid w:val="00E85C8E"/>
    <w:rsid w:val="00ED5E66"/>
    <w:rsid w:val="00F46773"/>
    <w:rsid w:val="00F6022F"/>
    <w:rsid w:val="00F63350"/>
    <w:rsid w:val="00F77C04"/>
    <w:rsid w:val="00F86A14"/>
    <w:rsid w:val="00FD3BD6"/>
    <w:rsid w:val="00FD3DFC"/>
    <w:rsid w:val="00FE0128"/>
    <w:rsid w:val="00FF37BF"/>
    <w:rsid w:val="120E0CB1"/>
    <w:rsid w:val="208A25DF"/>
    <w:rsid w:val="32C12A3F"/>
    <w:rsid w:val="38A4A234"/>
    <w:rsid w:val="4FC1D61E"/>
    <w:rsid w:val="5FB75BC8"/>
    <w:rsid w:val="6E6EA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C1693D4-16EA-487E-BC18-F31406C4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8700A4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8700A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167854-7D2F-48B0-A7E0-5684CAF58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B5B993-6E72-4903-BE0F-53B5C8DF6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1544</Words>
  <Characters>8498</Characters>
  <Application>Microsoft Office Word</Application>
  <DocSecurity>0</DocSecurity>
  <Lines>70</Lines>
  <Paragraphs>20</Paragraphs>
  <ScaleCrop>false</ScaleCrop>
  <Company>Hewlett-Packard Company</Company>
  <LinksUpToDate>false</LinksUpToDate>
  <CharactersWithSpaces>10022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JUAN CARLOS PINEDA ARAQUE</cp:lastModifiedBy>
  <cp:revision>12</cp:revision>
  <cp:lastPrinted>2021-08-03T20:55:00Z</cp:lastPrinted>
  <dcterms:created xsi:type="dcterms:W3CDTF">2022-08-03T21:07:00Z</dcterms:created>
  <dcterms:modified xsi:type="dcterms:W3CDTF">2025-12-31T20:16:00Z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